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146479" w:displacedByCustomXml="next"/>
    <w:bookmarkEnd w:id="0" w:displacedByCustomXml="next"/>
    <w:sdt>
      <w:sdtPr>
        <w:id w:val="1176004170"/>
        <w:docPartObj>
          <w:docPartGallery w:val="Cover Pages"/>
          <w:docPartUnique/>
        </w:docPartObj>
      </w:sdtPr>
      <w:sdtEndPr/>
      <w:sdtContent>
        <w:p w:rsidR="005E0674" w:rsidRDefault="005E0674">
          <w:r>
            <w:rPr>
              <w:noProof/>
            </w:rPr>
            <mc:AlternateContent>
              <mc:Choice Requires="wps">
                <w:drawing>
                  <wp:anchor distT="0" distB="0" distL="114300" distR="114300" simplePos="0" relativeHeight="251720704"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Zone de text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984954" w:rsidRDefault="00F04C3A">
                                <w:pPr>
                                  <w:pStyle w:val="Sansinterligne"/>
                                  <w:rPr>
                                    <w:color w:val="134770" w:themeColor="text2"/>
                                  </w:rPr>
                                </w:pPr>
                                <w:sdt>
                                  <w:sdtPr>
                                    <w:rPr>
                                      <w:color w:val="134770"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984954">
                                      <w:rPr>
                                        <w:color w:val="134770" w:themeColor="text2"/>
                                      </w:rPr>
                                      <w:t>guillaume rolland</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65" o:spid="_x0000_s1026" type="#_x0000_t202" style="position:absolute;margin-left:0;margin-top:0;width:220.3pt;height:21.15pt;z-index:25172070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" filled="f" stroked="f" strokeweight=".5pt">
                    <v:textbox style="mso-fit-shape-to-text:t">
                      <w:txbxContent>
                        <w:p w:rsidR="00984954" w:rsidRDefault="00F04C3A">
                          <w:pPr>
                            <w:pStyle w:val="Sansinterligne"/>
                            <w:rPr>
                              <w:color w:val="134770" w:themeColor="text2"/>
                            </w:rPr>
                          </w:pPr>
                          <w:sdt>
                            <w:sdtPr>
                              <w:rPr>
                                <w:color w:val="134770"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984954">
                                <w:rPr>
                                  <w:color w:val="134770" w:themeColor="text2"/>
                                </w:rPr>
                                <w:t>guillaume rolland</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71968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984954" w:rsidRDefault="0098495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5968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" fillcolor="#eaf5db [660]" stroked="f" strokeweight="1pt">
                    <v:fill color2="#c2e193 [1940]" focus="100%"/>
                    <v:textbox inset="21.6pt,,21.6pt">
                      <w:txbxContent>
                        <w:p w:rsidR="00984954" w:rsidRDefault="00984954"/>
                      </w:txbxContent>
                    </v:textbox>
                    <w10:wrap anchorx="page" anchory="page"/>
                  </v:rect>
                </w:pict>
              </mc:Fallback>
            </mc:AlternateContent>
          </w:r>
          <w:r>
            <w:rPr>
              <w:noProof/>
            </w:rPr>
            <mc:AlternateContent>
              <mc:Choice Requires="wps">
                <w:drawing>
                  <wp:anchor distT="0" distB="0" distL="114300" distR="114300" simplePos="0" relativeHeight="25171660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4954" w:rsidRDefault="00F04C3A">
                                <w:pPr>
                                  <w:spacing w:before="240"/>
                                  <w:jc w:val="center"/>
                                  <w:rPr>
                                    <w:color w:val="FFFFFF" w:themeColor="background1"/>
                                  </w:rPr>
                                </w:pPr>
                                <w:sdt>
                                  <w:sdtPr>
                                    <w:rPr>
                                      <w:noProof/>
                                    </w:rPr>
                                    <w:alias w:val="Résumé"/>
                                    <w:id w:val="8276291"/>
                                    <w:dataBinding w:prefixMappings="xmlns:ns0='http://schemas.microsoft.com/office/2006/coverPageProps'" w:xpath="/ns0:CoverPageProperties[1]/ns0:Abstract[1]" w:storeItemID="{55AF091B-3C7A-41E3-B477-F2FDAA23CFDA}"/>
                                    <w:text/>
                                  </w:sdtPr>
                                  <w:sdtEndPr/>
                                  <w:sdtContent>
                                    <w:r w:rsidR="00984954" w:rsidRPr="005E0674">
                                      <w:rPr>
                                        <w:noProof/>
                                      </w:rPr>
                                      <w:drawing>
                                        <wp:inline distT="0" distB="0" distL="0" distR="0" wp14:anchorId="3C1A8A14" wp14:editId="0590B136">
                                          <wp:extent cx="2533015" cy="1995170"/>
                                          <wp:effectExtent l="0" t="0" r="0" b="0"/>
                                          <wp:docPr id="17" name="Image 17"/>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a:extLst>
                                                      <a:ext uri="{28A0092B-C50C-407E-A947-70E740481C1C}">
                                                        <a14:useLocalDpi xmlns:a14="http://schemas.microsoft.com/office/drawing/2010/main" val="0"/>
                                                      </a:ext>
                                                    </a:extLst>
                                                  </a:blip>
                                                  <a:stretch>
                                                    <a:fillRect/>
                                                  </a:stretch>
                                                </pic:blipFill>
                                                <pic:spPr>
                                                  <a:xfrm>
                                                    <a:off x="0" y="0"/>
                                                    <a:ext cx="2533015" cy="1995170"/>
                                                  </a:xfrm>
                                                  <a:prstGeom prst="rect">
                                                    <a:avLst/>
                                                  </a:prstGeom>
                                                </pic:spPr>
                                              </pic:pic>
                                            </a:graphicData>
                                          </a:graphic>
                                        </wp:inline>
                                      </w:drawing>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71660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DQRHUqgAgAAnQUAAA4AAAAAAAAAAAAAAAAALgIAAGRycy9l&#10;Mm9Eb2MueG1sUEsBAi0AFAAGAAgAAAAhAHjHifzaAAAABQEAAA8AAAAAAAAAAAAAAAAA+gQAAGRy&#10;cy9kb3ducmV2LnhtbFBLBQYAAAAABAAEAPMAAAABBgAAAAA=&#10;" fillcolor="#134770 [3215]" stroked="f" strokeweight="1pt">
                    <v:textbox inset="14.4pt,14.4pt,14.4pt,28.8pt">
                      <w:txbxContent>
                        <w:p w:rsidR="00984954" w:rsidRDefault="00F04C3A">
                          <w:pPr>
                            <w:spacing w:before="240"/>
                            <w:jc w:val="center"/>
                            <w:rPr>
                              <w:color w:val="FFFFFF" w:themeColor="background1"/>
                            </w:rPr>
                          </w:pPr>
                          <w:sdt>
                            <w:sdtPr>
                              <w:rPr>
                                <w:noProof/>
                              </w:rPr>
                              <w:alias w:val="Résumé"/>
                              <w:id w:val="8276291"/>
                              <w:dataBinding w:prefixMappings="xmlns:ns0='http://schemas.microsoft.com/office/2006/coverPageProps'" w:xpath="/ns0:CoverPageProperties[1]/ns0:Abstract[1]" w:storeItemID="{55AF091B-3C7A-41E3-B477-F2FDAA23CFDA}"/>
                              <w:text/>
                            </w:sdtPr>
                            <w:sdtEndPr/>
                            <w:sdtContent>
                              <w:r w:rsidR="00984954" w:rsidRPr="005E0674">
                                <w:rPr>
                                  <w:noProof/>
                                </w:rPr>
                                <w:drawing>
                                  <wp:inline distT="0" distB="0" distL="0" distR="0" wp14:anchorId="3C1A8A14" wp14:editId="0590B136">
                                    <wp:extent cx="2533015" cy="1995170"/>
                                    <wp:effectExtent l="0" t="0" r="0" b="0"/>
                                    <wp:docPr id="17" name="Image 17"/>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a:extLst>
                                                <a:ext uri="{28A0092B-C50C-407E-A947-70E740481C1C}">
                                                  <a14:useLocalDpi xmlns:a14="http://schemas.microsoft.com/office/drawing/2010/main" val="0"/>
                                                </a:ext>
                                              </a:extLst>
                                            </a:blip>
                                            <a:stretch>
                                              <a:fillRect/>
                                            </a:stretch>
                                          </pic:blipFill>
                                          <pic:spPr>
                                            <a:xfrm>
                                              <a:off x="0" y="0"/>
                                              <a:ext cx="2533015" cy="1995170"/>
                                            </a:xfrm>
                                            <a:prstGeom prst="rect">
                                              <a:avLst/>
                                            </a:prstGeom>
                                          </pic:spPr>
                                        </pic:pic>
                                      </a:graphicData>
                                    </a:graphic>
                                  </wp:inline>
                                </w:drawing>
                              </w:r>
                            </w:sdtContent>
                          </w:sdt>
                        </w:p>
                      </w:txbxContent>
                    </v:textbox>
                    <w10:wrap anchorx="page" anchory="page"/>
                  </v:rect>
                </w:pict>
              </mc:Fallback>
            </mc:AlternateContent>
          </w:r>
          <w:r>
            <w:rPr>
              <w:noProof/>
            </w:rPr>
            <mc:AlternateContent>
              <mc:Choice Requires="wps">
                <w:drawing>
                  <wp:anchor distT="0" distB="0" distL="114300" distR="114300" simplePos="0" relativeHeight="251715584"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8BAF630" id="Rectangle 468" o:spid="_x0000_s1026" style="position:absolute;margin-left:0;margin-top:0;width:244.8pt;height:554.4pt;z-index:25171558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00bfbf [1614]" strokeweight="1.25pt">
                    <w10:wrap anchorx="page" anchory="page"/>
                  </v:rect>
                </w:pict>
              </mc:Fallback>
            </mc:AlternateContent>
          </w:r>
          <w:r>
            <w:rPr>
              <w:noProof/>
            </w:rPr>
            <mc:AlternateContent>
              <mc:Choice Requires="wps">
                <w:drawing>
                  <wp:anchor distT="0" distB="0" distL="114300" distR="114300" simplePos="0" relativeHeight="25171865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9F1DDFD" id="Rectangle 469" o:spid="_x0000_s1026" style="position:absolute;margin-left:0;margin-top:0;width:226.45pt;height:9.35pt;z-index:25171865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9acd4c [3204]" stroked="f" strokeweight="1pt">
                    <w10:wrap anchorx="page" anchory="page"/>
                  </v:rect>
                </w:pict>
              </mc:Fallback>
            </mc:AlternateContent>
          </w:r>
          <w:r>
            <w:rPr>
              <w:noProof/>
            </w:rPr>
            <mc:AlternateContent>
              <mc:Choice Requires="wps">
                <w:drawing>
                  <wp:anchor distT="0" distB="0" distL="114300" distR="114300" simplePos="0" relativeHeight="25171763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Zone de text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9ACD4C"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rsidR="00984954" w:rsidRDefault="00984954">
                                    <w:pPr>
                                      <w:spacing w:line="240" w:lineRule="auto"/>
                                      <w:rPr>
                                        <w:rFonts w:asciiTheme="majorHAnsi" w:eastAsiaTheme="majorEastAsia" w:hAnsiTheme="majorHAnsi" w:cstheme="majorBidi"/>
                                        <w:color w:val="9ACD4C" w:themeColor="accent1"/>
                                        <w:sz w:val="72"/>
                                        <w:szCs w:val="72"/>
                                      </w:rPr>
                                    </w:pPr>
                                    <w:r>
                                      <w:rPr>
                                        <w:rFonts w:asciiTheme="majorHAnsi" w:eastAsiaTheme="majorEastAsia" w:hAnsiTheme="majorHAnsi" w:cstheme="majorBidi"/>
                                        <w:color w:val="9ACD4C" w:themeColor="accent1"/>
                                        <w:sz w:val="72"/>
                                        <w:szCs w:val="72"/>
                                      </w:rPr>
                                      <w:t>Guide</w:t>
                                    </w:r>
                                  </w:p>
                                </w:sdtContent>
                              </w:sdt>
                              <w:sdt>
                                <w:sdtPr>
                                  <w:rPr>
                                    <w:rFonts w:asciiTheme="majorHAnsi" w:eastAsiaTheme="majorEastAsia" w:hAnsiTheme="majorHAnsi" w:cstheme="majorBidi"/>
                                    <w:color w:val="134770" w:themeColor="text2"/>
                                    <w:sz w:val="32"/>
                                    <w:szCs w:val="32"/>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p w:rsidR="00984954" w:rsidRDefault="00984954">
                                    <w:pPr>
                                      <w:rPr>
                                        <w:rFonts w:asciiTheme="majorHAnsi" w:eastAsiaTheme="majorEastAsia" w:hAnsiTheme="majorHAnsi" w:cstheme="majorBidi"/>
                                        <w:color w:val="134770" w:themeColor="text2"/>
                                        <w:sz w:val="32"/>
                                        <w:szCs w:val="32"/>
                                      </w:rPr>
                                    </w:pPr>
                                    <w:r>
                                      <w:rPr>
                                        <w:rFonts w:asciiTheme="majorHAnsi" w:eastAsiaTheme="majorEastAsia" w:hAnsiTheme="majorHAnsi" w:cstheme="majorBidi"/>
                                        <w:color w:val="134770" w:themeColor="text2"/>
                                        <w:sz w:val="32"/>
                                        <w:szCs w:val="32"/>
                                      </w:rPr>
                                      <w:t>Social PTQ</w:t>
                                    </w:r>
                                  </w:p>
                                </w:sdtContent>
                              </w:sdt>
                              <w:p w:rsidR="00984954" w:rsidRDefault="00984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Zone de texte 470" o:spid="_x0000_s1029" type="#_x0000_t202" style="position:absolute;margin-left:0;margin-top:0;width:220.3pt;height:194.9pt;z-index:25171763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dlVgmT8CAABwBAAADgAAAAAA&#10;AAAAAAAAAAAuAgAAZHJzL2Uyb0RvYy54bWxQSwECLQAUAAYACAAAACEAeUQr7toAAAAFAQAADwAA&#10;AAAAAAAAAAAAAACZBAAAZHJzL2Rvd25yZXYueG1sUEsFBgAAAAAEAAQA8wAAAKAFAAAAAA==&#10;" filled="f" stroked="f" strokeweight=".5pt">
                    <v:textbox style="mso-fit-shape-to-text:t">
                      <w:txbxContent>
                        <w:sdt>
                          <w:sdtPr>
                            <w:rPr>
                              <w:rFonts w:asciiTheme="majorHAnsi" w:eastAsiaTheme="majorEastAsia" w:hAnsiTheme="majorHAnsi" w:cstheme="majorBidi"/>
                              <w:color w:val="9ACD4C"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rsidR="00984954" w:rsidRDefault="00984954">
                              <w:pPr>
                                <w:spacing w:line="240" w:lineRule="auto"/>
                                <w:rPr>
                                  <w:rFonts w:asciiTheme="majorHAnsi" w:eastAsiaTheme="majorEastAsia" w:hAnsiTheme="majorHAnsi" w:cstheme="majorBidi"/>
                                  <w:color w:val="9ACD4C" w:themeColor="accent1"/>
                                  <w:sz w:val="72"/>
                                  <w:szCs w:val="72"/>
                                </w:rPr>
                              </w:pPr>
                              <w:r>
                                <w:rPr>
                                  <w:rFonts w:asciiTheme="majorHAnsi" w:eastAsiaTheme="majorEastAsia" w:hAnsiTheme="majorHAnsi" w:cstheme="majorBidi"/>
                                  <w:color w:val="9ACD4C" w:themeColor="accent1"/>
                                  <w:sz w:val="72"/>
                                  <w:szCs w:val="72"/>
                                </w:rPr>
                                <w:t>Guide</w:t>
                              </w:r>
                            </w:p>
                          </w:sdtContent>
                        </w:sdt>
                        <w:sdt>
                          <w:sdtPr>
                            <w:rPr>
                              <w:rFonts w:asciiTheme="majorHAnsi" w:eastAsiaTheme="majorEastAsia" w:hAnsiTheme="majorHAnsi" w:cstheme="majorBidi"/>
                              <w:color w:val="134770" w:themeColor="text2"/>
                              <w:sz w:val="32"/>
                              <w:szCs w:val="32"/>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p w:rsidR="00984954" w:rsidRDefault="00984954">
                              <w:pPr>
                                <w:rPr>
                                  <w:rFonts w:asciiTheme="majorHAnsi" w:eastAsiaTheme="majorEastAsia" w:hAnsiTheme="majorHAnsi" w:cstheme="majorBidi"/>
                                  <w:color w:val="134770" w:themeColor="text2"/>
                                  <w:sz w:val="32"/>
                                  <w:szCs w:val="32"/>
                                </w:rPr>
                              </w:pPr>
                              <w:r>
                                <w:rPr>
                                  <w:rFonts w:asciiTheme="majorHAnsi" w:eastAsiaTheme="majorEastAsia" w:hAnsiTheme="majorHAnsi" w:cstheme="majorBidi"/>
                                  <w:color w:val="134770" w:themeColor="text2"/>
                                  <w:sz w:val="32"/>
                                  <w:szCs w:val="32"/>
                                </w:rPr>
                                <w:t>Social PTQ</w:t>
                              </w:r>
                            </w:p>
                          </w:sdtContent>
                        </w:sdt>
                        <w:p w:rsidR="00984954" w:rsidRDefault="00984954"/>
                      </w:txbxContent>
                    </v:textbox>
                    <w10:wrap type="square" anchorx="page" anchory="page"/>
                  </v:shape>
                </w:pict>
              </mc:Fallback>
            </mc:AlternateContent>
          </w:r>
        </w:p>
        <w:p w:rsidR="00D23E66" w:rsidRDefault="005E0674">
          <w:r>
            <w:rPr>
              <w:rFonts w:ascii="Tahoma" w:hAnsi="Tahoma" w:cs="Tahoma"/>
              <w:b/>
              <w:noProof/>
            </w:rPr>
            <w:drawing>
              <wp:anchor distT="0" distB="0" distL="114300" distR="114300" simplePos="0" relativeHeight="251722752" behindDoc="0" locked="0" layoutInCell="1" allowOverlap="1" wp14:anchorId="489A47F9" wp14:editId="61C7FA17">
                <wp:simplePos x="0" y="0"/>
                <wp:positionH relativeFrom="margin">
                  <wp:posOffset>2902585</wp:posOffset>
                </wp:positionH>
                <wp:positionV relativeFrom="paragraph">
                  <wp:posOffset>4727575</wp:posOffset>
                </wp:positionV>
                <wp:extent cx="2941147" cy="219456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1147" cy="219456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tbl>
      <w:tblPr>
        <w:tblStyle w:val="TableauGrille6Couleu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10456"/>
      </w:tblGrid>
      <w:tr w:rsidR="00C74345" w:rsidRPr="00C74345" w:rsidTr="00C74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bottom w:val="none" w:sz="0" w:space="0" w:color="auto"/>
            </w:tcBorders>
            <w:shd w:val="clear" w:color="auto" w:fill="7F7F7F" w:themeFill="text1" w:themeFillTint="80"/>
          </w:tcPr>
          <w:p w:rsidR="00C74345" w:rsidRPr="00C74345" w:rsidRDefault="00C74345" w:rsidP="0021691A">
            <w:pPr>
              <w:pStyle w:val="TM1"/>
              <w:shd w:val="clear" w:color="auto" w:fill="7F7F7F" w:themeFill="text1" w:themeFillTint="80"/>
              <w:tabs>
                <w:tab w:val="right" w:leader="dot" w:pos="10456"/>
              </w:tabs>
              <w:outlineLvl w:val="1"/>
              <w:rPr>
                <w:rFonts w:cstheme="minorBidi"/>
                <w:noProof/>
              </w:rPr>
            </w:pPr>
            <w:r w:rsidRPr="00C74345">
              <w:rPr>
                <w:color w:val="auto"/>
              </w:rPr>
              <w:lastRenderedPageBreak/>
              <w:fldChar w:fldCharType="begin"/>
            </w:r>
            <w:r w:rsidRPr="00C74345">
              <w:instrText xml:space="preserve"> TOC \o "1-3" \h \z \u </w:instrText>
            </w:r>
            <w:r w:rsidRPr="00C74345">
              <w:rPr>
                <w:color w:val="auto"/>
              </w:rPr>
              <w:fldChar w:fldCharType="separate"/>
            </w:r>
            <w:hyperlink w:anchor="_Toc6241667" w:history="1">
              <w:r w:rsidRPr="00C74345">
                <w:rPr>
                  <w:rStyle w:val="Lienhypertexte"/>
                  <w:rFonts w:ascii="Tahoma" w:hAnsi="Tahoma" w:cs="Tahoma"/>
                  <w:noProof/>
                </w:rPr>
                <w:t>LES CONGÉS PAYÉS LÉGAUX</w:t>
              </w:r>
              <w:r w:rsidRPr="00C74345">
                <w:rPr>
                  <w:noProof/>
                  <w:webHidden/>
                </w:rPr>
                <w:tab/>
              </w:r>
              <w:r w:rsidRPr="00C74345">
                <w:rPr>
                  <w:noProof/>
                  <w:webHidden/>
                </w:rPr>
                <w:fldChar w:fldCharType="begin"/>
              </w:r>
              <w:r w:rsidRPr="00C74345">
                <w:rPr>
                  <w:noProof/>
                  <w:webHidden/>
                </w:rPr>
                <w:instrText xml:space="preserve"> PAGEREF _Toc6241667 \h </w:instrText>
              </w:r>
              <w:r w:rsidRPr="00C74345">
                <w:rPr>
                  <w:noProof/>
                  <w:webHidden/>
                </w:rPr>
              </w:r>
              <w:r w:rsidRPr="00C74345">
                <w:rPr>
                  <w:noProof/>
                  <w:webHidden/>
                </w:rPr>
                <w:fldChar w:fldCharType="separate"/>
              </w:r>
              <w:r w:rsidRPr="00C74345">
                <w:rPr>
                  <w:noProof/>
                  <w:webHidden/>
                </w:rPr>
                <w:t>3</w:t>
              </w:r>
              <w:r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68" w:history="1">
              <w:r w:rsidR="00C74345" w:rsidRPr="00C74345">
                <w:rPr>
                  <w:rStyle w:val="Lienhypertexte"/>
                  <w:rFonts w:eastAsia="Verdana"/>
                  <w:noProof/>
                </w:rPr>
                <w:t>LES JOURS DE CONGÉ D’ANCIENNETÉ</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_Toc6241668 \h </w:instrText>
              </w:r>
              <w:r w:rsidR="00C74345" w:rsidRPr="00C74345">
                <w:rPr>
                  <w:noProof/>
                  <w:webHidden/>
                </w:rPr>
              </w:r>
              <w:r w:rsidR="00C74345" w:rsidRPr="00C74345">
                <w:rPr>
                  <w:noProof/>
                  <w:webHidden/>
                </w:rPr>
                <w:fldChar w:fldCharType="separate"/>
              </w:r>
              <w:r w:rsidR="00C74345" w:rsidRPr="00C74345">
                <w:rPr>
                  <w:noProof/>
                  <w:webHidden/>
                </w:rPr>
                <w:t>4</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69" w:history="1">
              <w:r w:rsidR="00C74345" w:rsidRPr="00C74345">
                <w:rPr>
                  <w:rStyle w:val="Lienhypertexte"/>
                  <w:noProof/>
                </w:rPr>
                <w:t>Les Congés pour Enfant malade</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_Toc6241669 \h </w:instrText>
              </w:r>
              <w:r w:rsidR="00C74345" w:rsidRPr="00C74345">
                <w:rPr>
                  <w:noProof/>
                  <w:webHidden/>
                </w:rPr>
              </w:r>
              <w:r w:rsidR="00C74345" w:rsidRPr="00C74345">
                <w:rPr>
                  <w:noProof/>
                  <w:webHidden/>
                </w:rPr>
                <w:fldChar w:fldCharType="separate"/>
              </w:r>
              <w:r w:rsidR="00C74345" w:rsidRPr="00C74345">
                <w:rPr>
                  <w:noProof/>
                  <w:webHidden/>
                </w:rPr>
                <w:t>4</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71" w:history="1">
              <w:r w:rsidR="00C74345" w:rsidRPr="00C74345">
                <w:rPr>
                  <w:rStyle w:val="Lienhypertexte"/>
                  <w:noProof/>
                </w:rPr>
                <w:t>Les Congés exceptionnels</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_Toc6241671 \h </w:instrText>
              </w:r>
              <w:r w:rsidR="00C74345" w:rsidRPr="00C74345">
                <w:rPr>
                  <w:noProof/>
                  <w:webHidden/>
                </w:rPr>
              </w:r>
              <w:r w:rsidR="00C74345" w:rsidRPr="00C74345">
                <w:rPr>
                  <w:noProof/>
                  <w:webHidden/>
                </w:rPr>
                <w:fldChar w:fldCharType="separate"/>
              </w:r>
              <w:r w:rsidR="00C74345" w:rsidRPr="00C74345">
                <w:rPr>
                  <w:noProof/>
                  <w:webHidden/>
                </w:rPr>
                <w:t>5</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72" w:history="1">
              <w:r w:rsidR="00C74345" w:rsidRPr="00C74345">
                <w:rPr>
                  <w:rStyle w:val="Lienhypertexte"/>
                  <w:noProof/>
                </w:rPr>
                <w:t>Les Congés pour la Médaille du Travail</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_Toc6241672 \h </w:instrText>
              </w:r>
              <w:r w:rsidR="00C74345" w:rsidRPr="00C74345">
                <w:rPr>
                  <w:noProof/>
                  <w:webHidden/>
                </w:rPr>
              </w:r>
              <w:r w:rsidR="00C74345" w:rsidRPr="00C74345">
                <w:rPr>
                  <w:noProof/>
                  <w:webHidden/>
                </w:rPr>
                <w:fldChar w:fldCharType="separate"/>
              </w:r>
              <w:r w:rsidR="00C74345" w:rsidRPr="00C74345">
                <w:rPr>
                  <w:noProof/>
                  <w:webHidden/>
                </w:rPr>
                <w:t>5</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673" w:history="1">
              <w:r w:rsidR="00C74345" w:rsidRPr="00C74345">
                <w:rPr>
                  <w:rStyle w:val="Lienhypertexte"/>
                  <w:rFonts w:eastAsia="Verdana"/>
                  <w:noProof/>
                </w:rPr>
                <w:t>AUTRES CONGÉS &amp; AUTORISATIONS D'ABSENCES:</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_Toc6241673 \h </w:instrText>
              </w:r>
              <w:r w:rsidR="00C74345" w:rsidRPr="00C74345">
                <w:rPr>
                  <w:noProof/>
                  <w:webHidden/>
                </w:rPr>
              </w:r>
              <w:r w:rsidR="00C74345" w:rsidRPr="00C74345">
                <w:rPr>
                  <w:noProof/>
                  <w:webHidden/>
                </w:rPr>
                <w:fldChar w:fldCharType="separate"/>
              </w:r>
              <w:r w:rsidR="00C74345" w:rsidRPr="00C74345">
                <w:rPr>
                  <w:noProof/>
                  <w:webHidden/>
                </w:rPr>
                <w:t>6</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685" w:history="1">
              <w:r w:rsidR="00C74345" w:rsidRPr="00C74345">
                <w:rPr>
                  <w:rStyle w:val="Lienhypertexte"/>
                  <w:rFonts w:ascii="Tahoma" w:hAnsi="Tahoma" w:cs="Tahoma"/>
                  <w:noProof/>
                </w:rPr>
                <w:t>LES JOURS DE RÉDUCTION DU TEMPS DE TRAVAIL (RTT)</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_Toc6241685 \h </w:instrText>
              </w:r>
              <w:r w:rsidR="00C74345" w:rsidRPr="00C74345">
                <w:rPr>
                  <w:noProof/>
                  <w:webHidden/>
                </w:rPr>
              </w:r>
              <w:r w:rsidR="00C74345" w:rsidRPr="00C74345">
                <w:rPr>
                  <w:noProof/>
                  <w:webHidden/>
                </w:rPr>
                <w:fldChar w:fldCharType="separate"/>
              </w:r>
              <w:r w:rsidR="00C74345" w:rsidRPr="00C74345">
                <w:rPr>
                  <w:noProof/>
                  <w:webHidden/>
                </w:rPr>
                <w:t>7</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686" w:history="1">
              <w:r w:rsidR="00C74345" w:rsidRPr="00C74345">
                <w:rPr>
                  <w:rStyle w:val="Lienhypertexte"/>
                  <w:rFonts w:ascii="Tahoma" w:hAnsi="Tahoma" w:cs="Tahoma"/>
                  <w:noProof/>
                </w:rPr>
                <w:t>LE COMPTE ÉPARGNE TEMPS (CET)</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_Toc6241686 \h </w:instrText>
              </w:r>
              <w:r w:rsidR="00C74345" w:rsidRPr="00C74345">
                <w:rPr>
                  <w:noProof/>
                  <w:webHidden/>
                </w:rPr>
              </w:r>
              <w:r w:rsidR="00C74345" w:rsidRPr="00C74345">
                <w:rPr>
                  <w:noProof/>
                  <w:webHidden/>
                </w:rPr>
                <w:fldChar w:fldCharType="separate"/>
              </w:r>
              <w:r w:rsidR="00C74345" w:rsidRPr="00C74345">
                <w:rPr>
                  <w:noProof/>
                  <w:webHidden/>
                </w:rPr>
                <w:t>8</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87" w:history="1">
              <w:r w:rsidR="00C74345" w:rsidRPr="00C74345">
                <w:rPr>
                  <w:rStyle w:val="Lienhypertexte"/>
                  <w:rFonts w:eastAsia="Verdana"/>
                  <w:noProof/>
                </w:rPr>
                <w:t>REPOS COMPENSATEUR SUITE A UN VOYAGE</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_Toc6241687 \h </w:instrText>
              </w:r>
              <w:r w:rsidR="00C74345" w:rsidRPr="00C74345">
                <w:rPr>
                  <w:noProof/>
                  <w:webHidden/>
                </w:rPr>
              </w:r>
              <w:r w:rsidR="00C74345" w:rsidRPr="00C74345">
                <w:rPr>
                  <w:noProof/>
                  <w:webHidden/>
                </w:rPr>
                <w:fldChar w:fldCharType="separate"/>
              </w:r>
              <w:r w:rsidR="00C74345" w:rsidRPr="00C74345">
                <w:rPr>
                  <w:noProof/>
                  <w:webHidden/>
                </w:rPr>
                <w:t>8</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88" w:history="1">
              <w:r w:rsidR="00C74345" w:rsidRPr="00C74345">
                <w:rPr>
                  <w:rStyle w:val="Lienhypertexte"/>
                  <w:noProof/>
                </w:rPr>
                <w:t>LE REPOS COMPENSATEUR EQUIVALENT</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_Toc6241688 \h </w:instrText>
              </w:r>
              <w:r w:rsidR="00C74345" w:rsidRPr="00C74345">
                <w:rPr>
                  <w:noProof/>
                  <w:webHidden/>
                </w:rPr>
              </w:r>
              <w:r w:rsidR="00C74345" w:rsidRPr="00C74345">
                <w:rPr>
                  <w:noProof/>
                  <w:webHidden/>
                </w:rPr>
                <w:fldChar w:fldCharType="separate"/>
              </w:r>
              <w:r w:rsidR="00C74345" w:rsidRPr="00C74345">
                <w:rPr>
                  <w:noProof/>
                  <w:webHidden/>
                </w:rPr>
                <w:t>8</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689" w:history="1">
              <w:r w:rsidR="00C74345" w:rsidRPr="00C74345">
                <w:rPr>
                  <w:rStyle w:val="Lienhypertexte"/>
                  <w:rFonts w:ascii="Tahoma" w:hAnsi="Tahoma" w:cs="Tahoma"/>
                  <w:noProof/>
                </w:rPr>
                <w:t>ACCIDENT DU TRAVAIL</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_Toc6241689 \h </w:instrText>
              </w:r>
              <w:r w:rsidR="00C74345" w:rsidRPr="00C74345">
                <w:rPr>
                  <w:noProof/>
                  <w:webHidden/>
                </w:rPr>
              </w:r>
              <w:r w:rsidR="00C74345" w:rsidRPr="00C74345">
                <w:rPr>
                  <w:noProof/>
                  <w:webHidden/>
                </w:rPr>
                <w:fldChar w:fldCharType="separate"/>
              </w:r>
              <w:r w:rsidR="00C74345" w:rsidRPr="00C74345">
                <w:rPr>
                  <w:noProof/>
                  <w:webHidden/>
                </w:rPr>
                <w:t>8</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690" w:history="1">
              <w:r w:rsidR="00C74345" w:rsidRPr="00C74345">
                <w:rPr>
                  <w:rStyle w:val="Lienhypertexte"/>
                  <w:rFonts w:ascii="Tahoma" w:hAnsi="Tahoma" w:cs="Tahoma"/>
                  <w:noProof/>
                </w:rPr>
                <w:t>L’ARRÊT MALADIE</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_Toc6241690 \h </w:instrText>
              </w:r>
              <w:r w:rsidR="00C74345" w:rsidRPr="00C74345">
                <w:rPr>
                  <w:noProof/>
                  <w:webHidden/>
                </w:rPr>
              </w:r>
              <w:r w:rsidR="00C74345" w:rsidRPr="00C74345">
                <w:rPr>
                  <w:noProof/>
                  <w:webHidden/>
                </w:rPr>
                <w:fldChar w:fldCharType="separate"/>
              </w:r>
              <w:r w:rsidR="00C74345" w:rsidRPr="00C74345">
                <w:rPr>
                  <w:noProof/>
                  <w:webHidden/>
                </w:rPr>
                <w:t>9</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91" w:history="1">
              <w:r w:rsidR="00C74345" w:rsidRPr="00C74345">
                <w:rPr>
                  <w:rStyle w:val="Lienhypertexte"/>
                  <w:noProof/>
                </w:rPr>
                <w:t>AUTORISATION D’ABSENCES POUR HANDICAP</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_Toc6241691 \h </w:instrText>
              </w:r>
              <w:r w:rsidR="00C74345" w:rsidRPr="00C74345">
                <w:rPr>
                  <w:noProof/>
                  <w:webHidden/>
                </w:rPr>
              </w:r>
              <w:r w:rsidR="00C74345" w:rsidRPr="00C74345">
                <w:rPr>
                  <w:noProof/>
                  <w:webHidden/>
                </w:rPr>
                <w:fldChar w:fldCharType="separate"/>
              </w:r>
              <w:r w:rsidR="00C74345" w:rsidRPr="00C74345">
                <w:rPr>
                  <w:noProof/>
                  <w:webHidden/>
                </w:rPr>
                <w:t>9</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693" w:history="1">
              <w:r w:rsidR="00C74345" w:rsidRPr="00C74345">
                <w:rPr>
                  <w:rStyle w:val="Lienhypertexte"/>
                  <w:noProof/>
                </w:rPr>
                <w:t>DUREE D'INDEMNISATION PAR L’EMPLOYEUR &amp; SUBROGATION</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_Toc6241693 \h </w:instrText>
              </w:r>
              <w:r w:rsidR="00C74345" w:rsidRPr="00C74345">
                <w:rPr>
                  <w:noProof/>
                  <w:webHidden/>
                </w:rPr>
              </w:r>
              <w:r w:rsidR="00C74345" w:rsidRPr="00C74345">
                <w:rPr>
                  <w:noProof/>
                  <w:webHidden/>
                </w:rPr>
                <w:fldChar w:fldCharType="separate"/>
              </w:r>
              <w:r w:rsidR="00C74345" w:rsidRPr="00C74345">
                <w:rPr>
                  <w:noProof/>
                  <w:webHidden/>
                </w:rPr>
                <w:t>10</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694" w:history="1">
              <w:r w:rsidR="00C74345" w:rsidRPr="00C74345">
                <w:rPr>
                  <w:rStyle w:val="Lienhypertexte"/>
                  <w:rFonts w:eastAsia="Verdana"/>
                  <w:noProof/>
                </w:rPr>
                <w:t>SALAIRE, MINIMUM LÉGAL &amp; CONVENTIONNEL, ETC...</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_Toc6241694 \h </w:instrText>
              </w:r>
              <w:r w:rsidR="00C74345" w:rsidRPr="00C74345">
                <w:rPr>
                  <w:noProof/>
                  <w:webHidden/>
                </w:rPr>
              </w:r>
              <w:r w:rsidR="00C74345" w:rsidRPr="00C74345">
                <w:rPr>
                  <w:noProof/>
                  <w:webHidden/>
                </w:rPr>
                <w:fldChar w:fldCharType="separate"/>
              </w:r>
              <w:r w:rsidR="00C74345" w:rsidRPr="00C74345">
                <w:rPr>
                  <w:noProof/>
                  <w:webHidden/>
                </w:rPr>
                <w:t>10</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95" w:history="1">
              <w:r w:rsidR="00C74345" w:rsidRPr="00C74345">
                <w:rPr>
                  <w:rStyle w:val="Lienhypertexte"/>
                  <w:noProof/>
                </w:rPr>
                <w:t>LES HEURES SUPPLÉMENTAIRES</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_Toc6241695 \h </w:instrText>
              </w:r>
              <w:r w:rsidR="00C74345" w:rsidRPr="00C74345">
                <w:rPr>
                  <w:noProof/>
                  <w:webHidden/>
                </w:rPr>
              </w:r>
              <w:r w:rsidR="00C74345" w:rsidRPr="00C74345">
                <w:rPr>
                  <w:noProof/>
                  <w:webHidden/>
                </w:rPr>
                <w:fldChar w:fldCharType="separate"/>
              </w:r>
              <w:r w:rsidR="00C74345" w:rsidRPr="00C74345">
                <w:rPr>
                  <w:noProof/>
                  <w:webHidden/>
                </w:rPr>
                <w:t>11</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696" w:history="1">
              <w:r w:rsidR="00C74345" w:rsidRPr="00C74345">
                <w:rPr>
                  <w:rStyle w:val="Lienhypertexte"/>
                  <w:noProof/>
                </w:rPr>
                <w:t>LA RETRAITE</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_Toc6241696 \h </w:instrText>
              </w:r>
              <w:r w:rsidR="00C74345" w:rsidRPr="00C74345">
                <w:rPr>
                  <w:noProof/>
                  <w:webHidden/>
                </w:rPr>
              </w:r>
              <w:r w:rsidR="00C74345" w:rsidRPr="00C74345">
                <w:rPr>
                  <w:noProof/>
                  <w:webHidden/>
                </w:rPr>
                <w:fldChar w:fldCharType="separate"/>
              </w:r>
              <w:r w:rsidR="00C74345" w:rsidRPr="00C74345">
                <w:rPr>
                  <w:noProof/>
                  <w:webHidden/>
                </w:rPr>
                <w:t>12</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697" w:history="1">
              <w:r w:rsidR="00C74345" w:rsidRPr="00C74345">
                <w:rPr>
                  <w:rStyle w:val="Lienhypertexte"/>
                  <w:rFonts w:eastAsia="Verdana"/>
                  <w:noProof/>
                </w:rPr>
                <w:t>perco</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_Toc6241697 \h </w:instrText>
              </w:r>
              <w:r w:rsidR="00C74345" w:rsidRPr="00C74345">
                <w:rPr>
                  <w:noProof/>
                  <w:webHidden/>
                </w:rPr>
              </w:r>
              <w:r w:rsidR="00C74345" w:rsidRPr="00C74345">
                <w:rPr>
                  <w:noProof/>
                  <w:webHidden/>
                </w:rPr>
                <w:fldChar w:fldCharType="separate"/>
              </w:r>
              <w:r w:rsidR="00C74345" w:rsidRPr="00C74345">
                <w:rPr>
                  <w:noProof/>
                  <w:webHidden/>
                </w:rPr>
                <w:t>13</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98" w:history="1">
              <w:r w:rsidR="00C74345" w:rsidRPr="00C74345">
                <w:rPr>
                  <w:rStyle w:val="Lienhypertexte"/>
                  <w:noProof/>
                </w:rPr>
                <w:t>Salariés non Cadres, jusqu'à 900€ par dans les conditions ci-dessous  :</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_Toc6241698 \h </w:instrText>
              </w:r>
              <w:r w:rsidR="00C74345" w:rsidRPr="00C74345">
                <w:rPr>
                  <w:noProof/>
                  <w:webHidden/>
                </w:rPr>
              </w:r>
              <w:r w:rsidR="00C74345" w:rsidRPr="00C74345">
                <w:rPr>
                  <w:noProof/>
                  <w:webHidden/>
                </w:rPr>
                <w:fldChar w:fldCharType="separate"/>
              </w:r>
              <w:r w:rsidR="00C74345" w:rsidRPr="00C74345">
                <w:rPr>
                  <w:noProof/>
                  <w:webHidden/>
                </w:rPr>
                <w:t>13</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699" w:history="1">
              <w:r w:rsidR="00C74345" w:rsidRPr="00C74345">
                <w:rPr>
                  <w:rStyle w:val="Lienhypertexte"/>
                  <w:rFonts w:eastAsia="Times New Roman"/>
                  <w:noProof/>
                </w:rPr>
                <w:t>Salariés Ingénieurs et Cadres, jusqu'à 500€ par dans les conditions ci-dessous  :</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_Toc6241699 \h </w:instrText>
              </w:r>
              <w:r w:rsidR="00C74345" w:rsidRPr="00C74345">
                <w:rPr>
                  <w:noProof/>
                  <w:webHidden/>
                </w:rPr>
              </w:r>
              <w:r w:rsidR="00C74345" w:rsidRPr="00C74345">
                <w:rPr>
                  <w:noProof/>
                  <w:webHidden/>
                </w:rPr>
                <w:fldChar w:fldCharType="separate"/>
              </w:r>
              <w:r w:rsidR="00C74345" w:rsidRPr="00C74345">
                <w:rPr>
                  <w:noProof/>
                  <w:webHidden/>
                </w:rPr>
                <w:t>13</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700" w:history="1">
              <w:r w:rsidR="00C74345" w:rsidRPr="00C74345">
                <w:rPr>
                  <w:rStyle w:val="Lienhypertexte"/>
                  <w:rFonts w:eastAsia="Verdana"/>
                  <w:noProof/>
                </w:rPr>
                <w:t>PER Entreprise (article 83)</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_Toc6241700 \h </w:instrText>
              </w:r>
              <w:r w:rsidR="00C74345" w:rsidRPr="00C74345">
                <w:rPr>
                  <w:noProof/>
                  <w:webHidden/>
                </w:rPr>
              </w:r>
              <w:r w:rsidR="00C74345" w:rsidRPr="00C74345">
                <w:rPr>
                  <w:noProof/>
                  <w:webHidden/>
                </w:rPr>
                <w:fldChar w:fldCharType="separate"/>
              </w:r>
              <w:r w:rsidR="00C74345" w:rsidRPr="00C74345">
                <w:rPr>
                  <w:noProof/>
                  <w:webHidden/>
                </w:rPr>
                <w:t>13</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701" w:history="1">
              <w:r w:rsidR="00C74345" w:rsidRPr="00C74345">
                <w:rPr>
                  <w:rStyle w:val="Lienhypertexte"/>
                  <w:rFonts w:eastAsia="Verdana"/>
                  <w:noProof/>
                </w:rPr>
                <w:t>Mise à la</w:t>
              </w:r>
              <w:r w:rsidR="00C74345" w:rsidRPr="00C74345">
                <w:rPr>
                  <w:rStyle w:val="Lienhypertexte"/>
                  <w:rFonts w:eastAsia="Verdana"/>
                  <w:noProof/>
                </w:rPr>
                <w:t xml:space="preserve"> </w:t>
              </w:r>
              <w:r w:rsidR="00C74345" w:rsidRPr="00C74345">
                <w:rPr>
                  <w:rStyle w:val="Lienhypertexte"/>
                  <w:rFonts w:eastAsia="Verdana"/>
                  <w:noProof/>
                </w:rPr>
                <w:t>retraite</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_Toc6241701 \h </w:instrText>
              </w:r>
              <w:r w:rsidR="00C74345" w:rsidRPr="00C74345">
                <w:rPr>
                  <w:noProof/>
                  <w:webHidden/>
                </w:rPr>
              </w:r>
              <w:r w:rsidR="00C74345" w:rsidRPr="00C74345">
                <w:rPr>
                  <w:noProof/>
                  <w:webHidden/>
                </w:rPr>
                <w:fldChar w:fldCharType="separate"/>
              </w:r>
              <w:r w:rsidR="00C74345" w:rsidRPr="00C74345">
                <w:rPr>
                  <w:noProof/>
                  <w:webHidden/>
                </w:rPr>
                <w:t>14</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702" w:history="1">
              <w:r w:rsidR="00C74345" w:rsidRPr="00C74345">
                <w:rPr>
                  <w:rStyle w:val="Lienhypertexte"/>
                  <w:noProof/>
                </w:rPr>
                <w:t>Déplacements</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_Toc6241702 \h </w:instrText>
              </w:r>
              <w:r w:rsidR="00C74345" w:rsidRPr="00C74345">
                <w:rPr>
                  <w:noProof/>
                  <w:webHidden/>
                </w:rPr>
              </w:r>
              <w:r w:rsidR="00C74345" w:rsidRPr="00C74345">
                <w:rPr>
                  <w:noProof/>
                  <w:webHidden/>
                </w:rPr>
                <w:fldChar w:fldCharType="separate"/>
              </w:r>
              <w:r w:rsidR="00C74345" w:rsidRPr="00C74345">
                <w:rPr>
                  <w:noProof/>
                  <w:webHidden/>
                </w:rPr>
                <w:t>16</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703" w:history="1">
              <w:r w:rsidR="00C74345" w:rsidRPr="00C74345">
                <w:rPr>
                  <w:rStyle w:val="Lienhypertexte"/>
                  <w:b w:val="0"/>
                  <w:bCs w:val="0"/>
                  <w:noProof/>
                </w:rPr>
                <w:t>Indemnités et primes journalières forfaitaires de déplacement pour la France Opérations sur Sites - Barèmes 2018 applicables au 1er avril 2018</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_Toc6241703 \h </w:instrText>
              </w:r>
              <w:r w:rsidR="00C74345" w:rsidRPr="00C74345">
                <w:rPr>
                  <w:noProof/>
                  <w:webHidden/>
                </w:rPr>
              </w:r>
              <w:r w:rsidR="00C74345" w:rsidRPr="00C74345">
                <w:rPr>
                  <w:noProof/>
                  <w:webHidden/>
                </w:rPr>
                <w:fldChar w:fldCharType="separate"/>
              </w:r>
              <w:r w:rsidR="00C74345" w:rsidRPr="00C74345">
                <w:rPr>
                  <w:noProof/>
                  <w:webHidden/>
                </w:rPr>
                <w:t>16</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704" w:history="1">
              <w:r w:rsidR="00C74345" w:rsidRPr="00C74345">
                <w:rPr>
                  <w:rStyle w:val="Lienhypertexte"/>
                  <w:noProof/>
                </w:rPr>
                <w:t>Dispositifs divers</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_Toc6241704 \h </w:instrText>
              </w:r>
              <w:r w:rsidR="00C74345" w:rsidRPr="00C74345">
                <w:rPr>
                  <w:noProof/>
                  <w:webHidden/>
                </w:rPr>
              </w:r>
              <w:r w:rsidR="00C74345" w:rsidRPr="00C74345">
                <w:rPr>
                  <w:noProof/>
                  <w:webHidden/>
                </w:rPr>
                <w:fldChar w:fldCharType="separate"/>
              </w:r>
              <w:r w:rsidR="00C74345" w:rsidRPr="00C74345">
                <w:rPr>
                  <w:noProof/>
                  <w:webHidden/>
                </w:rPr>
                <w:t>17</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705" w:history="1">
              <w:r w:rsidR="00C74345" w:rsidRPr="00C74345">
                <w:rPr>
                  <w:rStyle w:val="Lienhypertexte"/>
                  <w:noProof/>
                </w:rPr>
                <w:t>Billet SCNF</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_Toc6241705 \h </w:instrText>
              </w:r>
              <w:r w:rsidR="00C74345" w:rsidRPr="00C74345">
                <w:rPr>
                  <w:noProof/>
                  <w:webHidden/>
                </w:rPr>
              </w:r>
              <w:r w:rsidR="00C74345" w:rsidRPr="00C74345">
                <w:rPr>
                  <w:noProof/>
                  <w:webHidden/>
                </w:rPr>
                <w:fldChar w:fldCharType="separate"/>
              </w:r>
              <w:r w:rsidR="00C74345" w:rsidRPr="00C74345">
                <w:rPr>
                  <w:noProof/>
                  <w:webHidden/>
                </w:rPr>
                <w:t>17</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706" w:history="1">
              <w:r w:rsidR="00C74345" w:rsidRPr="00C74345">
                <w:rPr>
                  <w:rStyle w:val="Lienhypertexte"/>
                  <w:rFonts w:eastAsia="Verdana"/>
                  <w:noProof/>
                </w:rPr>
                <w:t>RENTRÉE DES CLASSES</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_Toc6241706 \h </w:instrText>
              </w:r>
              <w:r w:rsidR="00C74345" w:rsidRPr="00C74345">
                <w:rPr>
                  <w:noProof/>
                  <w:webHidden/>
                </w:rPr>
              </w:r>
              <w:r w:rsidR="00C74345" w:rsidRPr="00C74345">
                <w:rPr>
                  <w:noProof/>
                  <w:webHidden/>
                </w:rPr>
                <w:fldChar w:fldCharType="separate"/>
              </w:r>
              <w:r w:rsidR="00C74345" w:rsidRPr="00C74345">
                <w:rPr>
                  <w:noProof/>
                  <w:webHidden/>
                </w:rPr>
                <w:t>18</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707" w:history="1">
              <w:r w:rsidR="00C74345" w:rsidRPr="00C74345">
                <w:rPr>
                  <w:rStyle w:val="Lienhypertexte"/>
                  <w:noProof/>
                </w:rPr>
                <w:t>Indemnité de licenciement</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_Toc6241707 \h </w:instrText>
              </w:r>
              <w:r w:rsidR="00C74345" w:rsidRPr="00C74345">
                <w:rPr>
                  <w:noProof/>
                  <w:webHidden/>
                </w:rPr>
              </w:r>
              <w:r w:rsidR="00C74345" w:rsidRPr="00C74345">
                <w:rPr>
                  <w:noProof/>
                  <w:webHidden/>
                </w:rPr>
                <w:fldChar w:fldCharType="separate"/>
              </w:r>
              <w:r w:rsidR="00C74345" w:rsidRPr="00C74345">
                <w:rPr>
                  <w:noProof/>
                  <w:webHidden/>
                </w:rPr>
                <w:t>18</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708" w:history="1">
              <w:r w:rsidR="00C74345" w:rsidRPr="00C74345">
                <w:rPr>
                  <w:rStyle w:val="Lienhypertexte"/>
                  <w:noProof/>
                </w:rPr>
                <w:t>PREVOYANCE</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_Toc6241708 \h </w:instrText>
              </w:r>
              <w:r w:rsidR="00C74345" w:rsidRPr="00C74345">
                <w:rPr>
                  <w:noProof/>
                  <w:webHidden/>
                </w:rPr>
              </w:r>
              <w:r w:rsidR="00C74345" w:rsidRPr="00C74345">
                <w:rPr>
                  <w:noProof/>
                  <w:webHidden/>
                </w:rPr>
                <w:fldChar w:fldCharType="separate"/>
              </w:r>
              <w:r w:rsidR="00C74345" w:rsidRPr="00C74345">
                <w:rPr>
                  <w:noProof/>
                  <w:webHidden/>
                </w:rPr>
                <w:t>18</w:t>
              </w:r>
              <w:r w:rsidR="00C74345" w:rsidRPr="00C74345">
                <w:rPr>
                  <w:noProof/>
                  <w:webHidden/>
                </w:rPr>
                <w:fldChar w:fldCharType="end"/>
              </w:r>
            </w:hyperlink>
          </w:p>
          <w:p w:rsidR="00C74345" w:rsidRPr="00C74345" w:rsidRDefault="00F04C3A" w:rsidP="0021691A">
            <w:pPr>
              <w:pStyle w:val="TM2"/>
              <w:shd w:val="clear" w:color="auto" w:fill="7F7F7F" w:themeFill="text1" w:themeFillTint="80"/>
              <w:tabs>
                <w:tab w:val="right" w:leader="dot" w:pos="10456"/>
              </w:tabs>
              <w:outlineLvl w:val="1"/>
              <w:rPr>
                <w:rFonts w:cstheme="minorBidi"/>
                <w:noProof/>
              </w:rPr>
            </w:pPr>
            <w:hyperlink w:anchor="_Toc6241710" w:history="1">
              <w:r w:rsidR="00C74345" w:rsidRPr="00C74345">
                <w:rPr>
                  <w:rStyle w:val="Lienhypertexte"/>
                  <w:noProof/>
                </w:rPr>
                <w:t>ZONE TOUCHÉE PAR UNE CATASTROPHE NATURELLE</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_Toc6241710 \h </w:instrText>
              </w:r>
              <w:r w:rsidR="00C74345" w:rsidRPr="00C74345">
                <w:rPr>
                  <w:noProof/>
                  <w:webHidden/>
                </w:rPr>
              </w:r>
              <w:r w:rsidR="00C74345" w:rsidRPr="00C74345">
                <w:rPr>
                  <w:noProof/>
                  <w:webHidden/>
                </w:rPr>
                <w:fldChar w:fldCharType="separate"/>
              </w:r>
              <w:r w:rsidR="00C74345" w:rsidRPr="00C74345">
                <w:rPr>
                  <w:noProof/>
                  <w:webHidden/>
                </w:rPr>
                <w:t>19</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711" w:history="1">
              <w:r w:rsidR="00C74345" w:rsidRPr="00C74345">
                <w:rPr>
                  <w:rStyle w:val="Lienhypertexte"/>
                  <w:rFonts w:eastAsia="Verdana"/>
                  <w:noProof/>
                </w:rPr>
                <w:t>ALISTA</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_Toc6241711 \h </w:instrText>
              </w:r>
              <w:r w:rsidR="00C74345" w:rsidRPr="00C74345">
                <w:rPr>
                  <w:noProof/>
                  <w:webHidden/>
                </w:rPr>
              </w:r>
              <w:r w:rsidR="00C74345" w:rsidRPr="00C74345">
                <w:rPr>
                  <w:noProof/>
                  <w:webHidden/>
                </w:rPr>
                <w:fldChar w:fldCharType="separate"/>
              </w:r>
              <w:r w:rsidR="00C74345" w:rsidRPr="00C74345">
                <w:rPr>
                  <w:noProof/>
                  <w:webHidden/>
                </w:rPr>
                <w:t>19</w:t>
              </w:r>
              <w:r w:rsidR="00C74345" w:rsidRPr="00C74345">
                <w:rPr>
                  <w:noProof/>
                  <w:webHidden/>
                </w:rPr>
                <w:fldChar w:fldCharType="end"/>
              </w:r>
            </w:hyperlink>
          </w:p>
          <w:p w:rsidR="00C74345" w:rsidRPr="00C74345" w:rsidRDefault="00F04C3A" w:rsidP="0021691A">
            <w:pPr>
              <w:pStyle w:val="TM1"/>
              <w:shd w:val="clear" w:color="auto" w:fill="7F7F7F" w:themeFill="text1" w:themeFillTint="80"/>
              <w:tabs>
                <w:tab w:val="right" w:leader="dot" w:pos="10456"/>
              </w:tabs>
              <w:outlineLvl w:val="1"/>
              <w:rPr>
                <w:rFonts w:cstheme="minorBidi"/>
                <w:noProof/>
              </w:rPr>
            </w:pPr>
            <w:hyperlink w:anchor="_Toc6241712" w:history="1">
              <w:r w:rsidR="00C74345" w:rsidRPr="00C74345">
                <w:rPr>
                  <w:rStyle w:val="Lienhypertexte"/>
                  <w:noProof/>
                </w:rPr>
                <w:t>Gestion des jours fériés</w:t>
              </w:r>
              <w:r w:rsidR="00C74345" w:rsidRPr="00C74345">
                <w:rPr>
                  <w:noProof/>
                  <w:webHidden/>
                </w:rPr>
                <w:tab/>
              </w:r>
              <w:r w:rsidR="00C74345" w:rsidRPr="00C74345">
                <w:rPr>
                  <w:noProof/>
                  <w:webHidden/>
                </w:rPr>
                <w:fldChar w:fldCharType="begin"/>
              </w:r>
              <w:r w:rsidR="00C74345" w:rsidRPr="00C74345">
                <w:rPr>
                  <w:noProof/>
                  <w:webHidden/>
                </w:rPr>
                <w:instrText xml:space="preserve"> PAGEREF _Toc6241712 \h </w:instrText>
              </w:r>
              <w:r w:rsidR="00C74345" w:rsidRPr="00C74345">
                <w:rPr>
                  <w:noProof/>
                  <w:webHidden/>
                </w:rPr>
              </w:r>
              <w:r w:rsidR="00C74345" w:rsidRPr="00C74345">
                <w:rPr>
                  <w:noProof/>
                  <w:webHidden/>
                </w:rPr>
                <w:fldChar w:fldCharType="separate"/>
              </w:r>
              <w:r w:rsidR="00C74345" w:rsidRPr="00C74345">
                <w:rPr>
                  <w:noProof/>
                  <w:webHidden/>
                </w:rPr>
                <w:t>20</w:t>
              </w:r>
              <w:r w:rsidR="00C74345" w:rsidRPr="00C74345">
                <w:rPr>
                  <w:noProof/>
                  <w:webHidden/>
                </w:rPr>
                <w:fldChar w:fldCharType="end"/>
              </w:r>
            </w:hyperlink>
          </w:p>
          <w:p w:rsidR="00C74345" w:rsidRPr="00C74345" w:rsidRDefault="00C74345" w:rsidP="0021691A">
            <w:pPr>
              <w:pStyle w:val="Titre3"/>
              <w:shd w:val="clear" w:color="auto" w:fill="7F7F7F" w:themeFill="text1" w:themeFillTint="80"/>
              <w:outlineLvl w:val="2"/>
            </w:pPr>
            <w:r w:rsidRPr="00C74345">
              <w:fldChar w:fldCharType="end"/>
            </w:r>
          </w:p>
        </w:tc>
      </w:tr>
      <w:tr w:rsidR="00C74345" w:rsidRPr="00C74345" w:rsidTr="00C74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7F7F7F" w:themeFill="text1" w:themeFillTint="80"/>
          </w:tcPr>
          <w:p w:rsidR="00C74345" w:rsidRPr="00C74345" w:rsidRDefault="00C74345" w:rsidP="00FD1B10"/>
        </w:tc>
      </w:tr>
    </w:tbl>
    <w:p w:rsidR="00537C3C" w:rsidRDefault="00537C3C"/>
    <w:p w:rsidR="004C3153" w:rsidRDefault="004C3153"/>
    <w:p w:rsidR="00897842" w:rsidRDefault="00897842"/>
    <w:p w:rsidR="00897842" w:rsidRDefault="00897842"/>
    <w:p w:rsidR="00D23E66" w:rsidRDefault="00D23E66"/>
    <w:p w:rsidR="00D23E66" w:rsidRPr="005E7F8B" w:rsidRDefault="00D23E66" w:rsidP="00D23E66">
      <w:pPr>
        <w:pStyle w:val="Titre1"/>
        <w:spacing w:after="34"/>
        <w:rPr>
          <w:rFonts w:ascii="Tahoma" w:hAnsi="Tahoma" w:cs="Tahoma"/>
          <w:sz w:val="24"/>
          <w:szCs w:val="24"/>
        </w:rPr>
      </w:pPr>
      <w:bookmarkStart w:id="1" w:name="_Toc6241667"/>
      <w:r w:rsidRPr="005E7F8B">
        <w:rPr>
          <w:rFonts w:ascii="Tahoma" w:hAnsi="Tahoma" w:cs="Tahoma"/>
          <w:sz w:val="24"/>
          <w:szCs w:val="24"/>
        </w:rPr>
        <w:lastRenderedPageBreak/>
        <w:t>LES CONGÉS PAYÉS LÉGAUX</w:t>
      </w:r>
      <w:bookmarkEnd w:id="1"/>
      <w:r w:rsidRPr="005E7F8B">
        <w:rPr>
          <w:rFonts w:ascii="Tahoma" w:eastAsia="Tahoma" w:hAnsi="Tahoma" w:cs="Tahoma"/>
          <w:sz w:val="24"/>
          <w:szCs w:val="24"/>
        </w:rPr>
        <w:t xml:space="preserve"> </w:t>
      </w:r>
    </w:p>
    <w:p w:rsidR="00D23E66" w:rsidRPr="005E7F8B" w:rsidRDefault="00D23E66" w:rsidP="00D23E66">
      <w:pPr>
        <w:spacing w:line="259" w:lineRule="auto"/>
        <w:rPr>
          <w:rFonts w:ascii="Tahoma" w:hAnsi="Tahoma" w:cs="Tahoma"/>
        </w:rPr>
      </w:pPr>
      <w:r w:rsidRPr="005E7F8B">
        <w:rPr>
          <w:rFonts w:ascii="Tahoma" w:hAnsi="Tahoma" w:cs="Tahoma"/>
        </w:rPr>
        <w:t>Les congés payés ont été obtenus en France grâce à la grève générale de 1936. A l’époque, ils étaient de deux semaines par an. Les congés payés ne figuraient pas dans le programme électoral du Front Populaire. Il s’agit donc bien d’une conquête syndicale du mouvement ouvrier.</w:t>
      </w:r>
    </w:p>
    <w:p w:rsidR="00D23E66" w:rsidRPr="005E7F8B" w:rsidRDefault="00D23E66" w:rsidP="00D23E66">
      <w:pPr>
        <w:ind w:right="14"/>
        <w:rPr>
          <w:rFonts w:ascii="Tahoma" w:hAnsi="Tahoma" w:cs="Tahoma"/>
        </w:rPr>
      </w:pPr>
      <w:r w:rsidRPr="005E7F8B">
        <w:rPr>
          <w:rFonts w:ascii="Tahoma" w:hAnsi="Tahoma" w:cs="Tahoma"/>
        </w:rPr>
        <w:t xml:space="preserve"> Un salarié présent dans l’entreprise durant la totalité de la période de référence du 1er juin de l’année N au 31 mai de l’année N+1 (12 mois), acquiert 2,5 x 12 = 30 jours ouvrables de congés, soit 6 jours par semaines du lundi au samedi.</w:t>
      </w:r>
      <w:r w:rsidRPr="005E7F8B">
        <w:rPr>
          <w:rFonts w:ascii="Tahoma" w:hAnsi="Tahoma" w:cs="Tahoma"/>
          <w:b/>
        </w:rPr>
        <w:t xml:space="preserve"> </w:t>
      </w:r>
      <w:r w:rsidRPr="005E7F8B">
        <w:rPr>
          <w:rFonts w:ascii="Tahoma" w:hAnsi="Tahoma" w:cs="Tahoma"/>
        </w:rPr>
        <w:t>Depuis le 1er juin 2012, les salariés ont droit à des congés payés dès le premier jour de travail. Ceci peut être intéressant notamment pour les nouveaux embauchés.</w:t>
      </w:r>
    </w:p>
    <w:p w:rsidR="00D23E66" w:rsidRPr="005E7F8B" w:rsidRDefault="00D23E66" w:rsidP="00D23E66">
      <w:pPr>
        <w:spacing w:after="4" w:line="248" w:lineRule="auto"/>
        <w:ind w:right="57"/>
        <w:jc w:val="both"/>
        <w:rPr>
          <w:rFonts w:ascii="Tahoma" w:hAnsi="Tahoma" w:cs="Tahoma"/>
          <w:b/>
          <w:bCs/>
          <w:u w:val="single"/>
        </w:rPr>
      </w:pPr>
      <w:r w:rsidRPr="005E7F8B">
        <w:rPr>
          <w:rFonts w:ascii="Tahoma" w:hAnsi="Tahoma" w:cs="Tahoma"/>
        </w:rPr>
        <w:t>Les Responsables disposeront de 15 jours de délai de réponse. Les réponses négatives seront motivées dans l’outil Tempus.  Les managers s’appuieront sur leurs plannings d’activité, la maintenance de leurs installations et l’ordre des demandes de congés pour valider ou non les demandes de congés. Le défaut de réponse de l’encadrement dans les délais ci-dessus indiqués vaudra acceptation de la demande individuelle.</w:t>
      </w:r>
    </w:p>
    <w:p w:rsidR="00D23E66" w:rsidRPr="005E7F8B" w:rsidRDefault="00D23E66" w:rsidP="00D23E66">
      <w:pPr>
        <w:ind w:right="57"/>
        <w:jc w:val="both"/>
        <w:rPr>
          <w:rFonts w:ascii="Tahoma" w:hAnsi="Tahoma" w:cs="Tahoma"/>
        </w:rPr>
      </w:pPr>
      <w:r w:rsidRPr="005E7F8B">
        <w:rPr>
          <w:rFonts w:ascii="Tahoma" w:hAnsi="Tahoma" w:cs="Tahoma"/>
        </w:rPr>
        <w:t>Dans le cadre des travaux de maintenance, le personnel intervenant sur ces opérations du 1er août 2010 au 15 août  2010  bénéficiera  d’un  jour  de  congé  de  fractionnement.</w:t>
      </w:r>
    </w:p>
    <w:p w:rsidR="00D23E66" w:rsidRDefault="00D23E66">
      <w:r w:rsidRPr="005E7F8B">
        <w:rPr>
          <w:rFonts w:ascii="Tahoma" w:hAnsi="Tahoma" w:cs="Tahoma"/>
          <w:noProof/>
        </w:rPr>
        <w:drawing>
          <wp:anchor distT="0" distB="0" distL="114300" distR="114300" simplePos="0" relativeHeight="251663360" behindDoc="1" locked="0" layoutInCell="1" allowOverlap="0" wp14:anchorId="2EB98AD0" wp14:editId="1F0F0BD5">
            <wp:simplePos x="0" y="0"/>
            <wp:positionH relativeFrom="margin">
              <wp:align>right</wp:align>
            </wp:positionH>
            <wp:positionV relativeFrom="paragraph">
              <wp:posOffset>257175</wp:posOffset>
            </wp:positionV>
            <wp:extent cx="2190115" cy="1897380"/>
            <wp:effectExtent l="0" t="0" r="635" b="7620"/>
            <wp:wrapTight wrapText="bothSides">
              <wp:wrapPolygon edited="0">
                <wp:start x="0" y="0"/>
                <wp:lineTo x="0" y="21470"/>
                <wp:lineTo x="21418" y="21470"/>
                <wp:lineTo x="21418" y="0"/>
                <wp:lineTo x="0" y="0"/>
              </wp:wrapPolygon>
            </wp:wrapTight>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0"/>
                    <a:stretch>
                      <a:fillRect/>
                    </a:stretch>
                  </pic:blipFill>
                  <pic:spPr>
                    <a:xfrm>
                      <a:off x="0" y="0"/>
                      <a:ext cx="2190115" cy="1897380"/>
                    </a:xfrm>
                    <a:prstGeom prst="rect">
                      <a:avLst/>
                    </a:prstGeom>
                  </pic:spPr>
                </pic:pic>
              </a:graphicData>
            </a:graphic>
          </wp:anchor>
        </w:drawing>
      </w:r>
    </w:p>
    <w:p w:rsidR="00D23E66" w:rsidRPr="00914255" w:rsidRDefault="00D23E66" w:rsidP="00914255">
      <w:pPr>
        <w:pStyle w:val="Titre4"/>
        <w:rPr>
          <w:rStyle w:val="Rfrenceintense"/>
          <w:b w:val="0"/>
          <w:bCs w:val="0"/>
          <w:i w:val="0"/>
          <w:iCs w:val="0"/>
          <w:caps/>
          <w:color w:val="75A42E" w:themeColor="accent1" w:themeShade="BF"/>
        </w:rPr>
      </w:pPr>
      <w:r w:rsidRPr="00914255">
        <w:rPr>
          <w:rStyle w:val="Rfrenceintense"/>
          <w:b w:val="0"/>
          <w:bCs w:val="0"/>
          <w:i w:val="0"/>
          <w:iCs w:val="0"/>
          <w:caps/>
          <w:color w:val="75A42E" w:themeColor="accent1" w:themeShade="BF"/>
        </w:rPr>
        <w:t>L’indemnité de congé payé</w:t>
      </w:r>
    </w:p>
    <w:p w:rsidR="00D23E66" w:rsidRPr="005E7F8B" w:rsidRDefault="00D23E66" w:rsidP="00D23E66">
      <w:pPr>
        <w:spacing w:after="0" w:line="259" w:lineRule="auto"/>
        <w:jc w:val="both"/>
        <w:rPr>
          <w:rFonts w:ascii="Tahoma" w:hAnsi="Tahoma" w:cs="Tahoma"/>
          <w:b/>
          <w:bCs/>
        </w:rPr>
      </w:pPr>
      <w:r w:rsidRPr="005E7F8B">
        <w:rPr>
          <w:rFonts w:ascii="Tahoma" w:hAnsi="Tahoma" w:cs="Tahoma"/>
        </w:rPr>
        <w:t>Cette indemnité peut être calculée selon deux méthodes (article L. 3141-22 du Code du travail) :</w:t>
      </w:r>
    </w:p>
    <w:p w:rsidR="00D23E66" w:rsidRDefault="00D23E66" w:rsidP="00D23E66">
      <w:pPr>
        <w:spacing w:after="0"/>
        <w:ind w:hanging="10"/>
        <w:jc w:val="both"/>
        <w:rPr>
          <w:rFonts w:ascii="Tahoma" w:hAnsi="Tahoma" w:cs="Tahoma"/>
        </w:rPr>
      </w:pPr>
      <w:r w:rsidRPr="005E7F8B">
        <w:rPr>
          <w:rFonts w:ascii="Tahoma" w:hAnsi="Tahoma" w:cs="Tahoma"/>
        </w:rPr>
        <w:t xml:space="preserve">Pour 30 jours ouvrables de congés, est égale à </w:t>
      </w:r>
      <w:r w:rsidRPr="005E7F8B">
        <w:rPr>
          <w:rFonts w:ascii="Tahoma" w:hAnsi="Tahoma" w:cs="Tahoma"/>
          <w:b/>
          <w:bCs/>
        </w:rPr>
        <w:t xml:space="preserve">1/10 de la rémunération brute totale perçue au cours </w:t>
      </w:r>
      <w:r>
        <w:rPr>
          <w:rFonts w:ascii="Tahoma" w:hAnsi="Tahoma" w:cs="Tahoma"/>
          <w:b/>
          <w:bCs/>
        </w:rPr>
        <w:t xml:space="preserve"> de </w:t>
      </w:r>
      <w:r w:rsidRPr="005E7F8B">
        <w:rPr>
          <w:rFonts w:ascii="Tahoma" w:hAnsi="Tahoma" w:cs="Tahoma"/>
          <w:b/>
          <w:bCs/>
        </w:rPr>
        <w:t xml:space="preserve">l’année de référence </w:t>
      </w:r>
      <w:r w:rsidRPr="005E7F8B">
        <w:rPr>
          <w:rFonts w:ascii="Tahoma" w:hAnsi="Tahoma" w:cs="Tahoma"/>
        </w:rPr>
        <w:t>écoulée (c'est-à-dire, les salaires cumulés du 1er juin au 31 mai suivant, prime d’ancienneté et bonus inclus, hors 13ème mois) ou la méthode du maintien de salaire.</w:t>
      </w:r>
    </w:p>
    <w:p w:rsidR="00D23E66" w:rsidRDefault="00D23E66" w:rsidP="00D23E66">
      <w:pPr>
        <w:ind w:hanging="10"/>
        <w:jc w:val="center"/>
        <w:rPr>
          <w:rFonts w:ascii="Tahoma" w:hAnsi="Tahoma" w:cs="Tahoma"/>
        </w:rPr>
      </w:pPr>
    </w:p>
    <w:p w:rsidR="00D23E66" w:rsidRPr="00713906" w:rsidRDefault="00D23E66" w:rsidP="00914255">
      <w:pPr>
        <w:pStyle w:val="Titre4"/>
      </w:pPr>
      <w:r w:rsidRPr="00713906">
        <w:t xml:space="preserve">CALCULS EN JOURS OUVRES  </w:t>
      </w:r>
    </w:p>
    <w:p w:rsidR="00D23E66" w:rsidRPr="005E7F8B" w:rsidRDefault="00D23E66" w:rsidP="00D23E66">
      <w:pPr>
        <w:spacing w:line="259" w:lineRule="auto"/>
        <w:jc w:val="both"/>
        <w:rPr>
          <w:rFonts w:ascii="Tahoma" w:hAnsi="Tahoma" w:cs="Tahoma"/>
          <w:b/>
        </w:rPr>
      </w:pPr>
      <w:r w:rsidRPr="005E7F8B">
        <w:rPr>
          <w:rFonts w:ascii="Tahoma" w:hAnsi="Tahoma" w:cs="Tahoma"/>
        </w:rPr>
        <w:t>Le nombre de jours de congé acquis durant cette période est égal à 2,5 jours ouvrables par mois (article L.3141-3 du Code du Travail). Un salarié</w:t>
      </w:r>
      <w:r>
        <w:rPr>
          <w:rFonts w:ascii="Tahoma" w:hAnsi="Tahoma" w:cs="Tahoma"/>
        </w:rPr>
        <w:t xml:space="preserve"> présent</w:t>
      </w:r>
      <w:r w:rsidRPr="005E7F8B">
        <w:rPr>
          <w:rFonts w:ascii="Tahoma" w:hAnsi="Tahoma" w:cs="Tahoma"/>
        </w:rPr>
        <w:t xml:space="preserve"> dans l’entreprise durant la totalité de la période de référence du 1er juin de l’année N au 31 mai de l’année N+1 (12 mois), acquiert 2,5 x 12 = 30 jours ouvrables de congés, soit 25 jours ouvrés (du lundi au vendredi) et 5 samedis.</w:t>
      </w:r>
    </w:p>
    <w:p w:rsidR="00D23E66" w:rsidRPr="005E7F8B" w:rsidRDefault="00D23E66" w:rsidP="00D23E66">
      <w:pPr>
        <w:spacing w:after="46"/>
        <w:ind w:right="14"/>
        <w:jc w:val="both"/>
        <w:rPr>
          <w:rFonts w:ascii="Tahoma" w:hAnsi="Tahoma" w:cs="Tahoma"/>
          <w:b/>
        </w:rPr>
      </w:pPr>
      <w:r w:rsidRPr="00713906">
        <w:rPr>
          <w:rFonts w:ascii="Tahoma" w:hAnsi="Tahoma" w:cs="Tahoma"/>
        </w:rPr>
        <w:t xml:space="preserve">Sur Alstom, les congés sont décomptés en jours ouvrés </w:t>
      </w:r>
      <w:r w:rsidRPr="00713906">
        <w:rPr>
          <w:rFonts w:ascii="Tahoma" w:hAnsi="Tahoma" w:cs="Tahoma"/>
          <w:b/>
        </w:rPr>
        <w:t>:</w:t>
      </w:r>
      <w:r w:rsidRPr="005E7F8B">
        <w:rPr>
          <w:rFonts w:ascii="Tahoma" w:hAnsi="Tahoma" w:cs="Tahoma"/>
          <w:b/>
        </w:rPr>
        <w:t xml:space="preserve"> </w:t>
      </w:r>
    </w:p>
    <w:p w:rsidR="00D23E66" w:rsidRPr="005E7F8B" w:rsidRDefault="00D23E66" w:rsidP="00D23E66">
      <w:pPr>
        <w:spacing w:after="46"/>
        <w:ind w:right="14"/>
        <w:jc w:val="both"/>
        <w:rPr>
          <w:rFonts w:ascii="Tahoma" w:hAnsi="Tahoma" w:cs="Tahoma"/>
        </w:rPr>
      </w:pPr>
      <w:r w:rsidRPr="005E7F8B">
        <w:rPr>
          <w:rFonts w:ascii="Tahoma" w:hAnsi="Tahoma" w:cs="Tahoma"/>
        </w:rPr>
        <w:t xml:space="preserve">Cette différence de mode de calcul peut avoir une importance dans certains cas particuliers (exemple, le 15 août). Un jour de congé supplémentaire est, le cas échéant, recrédité de façon à ce que le mode de décompte des congés en jours ouvrés ne soit pas plus défavorable que celui en jour ouvrable. </w:t>
      </w:r>
    </w:p>
    <w:p w:rsidR="00D23E66" w:rsidRPr="005E7F8B" w:rsidRDefault="00D23E66" w:rsidP="00D23E66">
      <w:pPr>
        <w:spacing w:after="46"/>
        <w:ind w:right="14"/>
        <w:jc w:val="both"/>
        <w:rPr>
          <w:rFonts w:ascii="Tahoma" w:hAnsi="Tahoma" w:cs="Tahoma"/>
          <w:b/>
        </w:rPr>
      </w:pPr>
      <w:r w:rsidRPr="00713906">
        <w:rPr>
          <w:rFonts w:ascii="Tahoma" w:hAnsi="Tahoma" w:cs="Tahoma"/>
          <w:b/>
        </w:rPr>
        <w:t>Nota :</w:t>
      </w:r>
      <w:r w:rsidRPr="00713906">
        <w:rPr>
          <w:rFonts w:ascii="Tahoma" w:hAnsi="Tahoma" w:cs="Tahoma"/>
        </w:rPr>
        <w:t xml:space="preserve"> Grâce à l'accord sur les règles de paye signé par FO en 2008 la prise des congés peut se faire de façon anticipée dès le 1er janvier. De plus cet accord a transformé l'usage de pouvoir prendre les congés en demi-journée en garantie contractuelle.</w:t>
      </w:r>
      <w:r w:rsidRPr="005E7F8B">
        <w:rPr>
          <w:rFonts w:ascii="Tahoma" w:hAnsi="Tahoma" w:cs="Tahoma"/>
        </w:rPr>
        <w:t xml:space="preserve"> </w:t>
      </w:r>
      <w:r>
        <w:rPr>
          <w:rFonts w:ascii="Tahoma" w:hAnsi="Tahoma" w:cs="Tahoma"/>
          <w:b/>
        </w:rPr>
        <w:t xml:space="preserve"> </w:t>
      </w:r>
    </w:p>
    <w:p w:rsidR="00D23E66" w:rsidRDefault="00D23E66" w:rsidP="00D23E66">
      <w:pPr>
        <w:spacing w:after="46"/>
        <w:ind w:right="14"/>
        <w:jc w:val="both"/>
        <w:rPr>
          <w:rFonts w:ascii="Tahoma" w:hAnsi="Tahoma" w:cs="Tahoma"/>
          <w:b/>
        </w:rPr>
      </w:pPr>
    </w:p>
    <w:p w:rsidR="00D23E66" w:rsidRPr="005E7F8B" w:rsidRDefault="00D23E66" w:rsidP="00914255">
      <w:pPr>
        <w:pStyle w:val="Titre4"/>
      </w:pPr>
      <w:r w:rsidRPr="005E7F8B">
        <w:t>Les congés payés d’été :</w:t>
      </w:r>
    </w:p>
    <w:p w:rsidR="00D23E66" w:rsidRDefault="00D23E66" w:rsidP="00223A3D">
      <w:pPr>
        <w:spacing w:after="0"/>
        <w:jc w:val="both"/>
        <w:rPr>
          <w:rFonts w:ascii="Tahoma" w:hAnsi="Tahoma" w:cs="Tahoma"/>
        </w:rPr>
      </w:pPr>
      <w:r w:rsidRPr="005E7F8B">
        <w:rPr>
          <w:rFonts w:ascii="Tahoma" w:hAnsi="Tahoma" w:cs="Tahoma"/>
        </w:rPr>
        <w:t xml:space="preserve">les salariés pourront faire leurs demandes de congés d’été dans l’outil de Gestion  des  Temps  « </w:t>
      </w:r>
      <w:r w:rsidR="00223A3D">
        <w:rPr>
          <w:rFonts w:ascii="Tahoma" w:hAnsi="Tahoma" w:cs="Tahoma"/>
        </w:rPr>
        <w:t>ALISTA</w:t>
      </w:r>
      <w:r w:rsidRPr="005E7F8B">
        <w:rPr>
          <w:rFonts w:ascii="Tahoma" w:hAnsi="Tahoma" w:cs="Tahoma"/>
        </w:rPr>
        <w:t xml:space="preserve"> ». </w:t>
      </w:r>
    </w:p>
    <w:p w:rsidR="004C3153" w:rsidRDefault="004C3153" w:rsidP="00223A3D">
      <w:pPr>
        <w:spacing w:after="0"/>
        <w:jc w:val="both"/>
        <w:rPr>
          <w:rFonts w:ascii="Tahoma" w:hAnsi="Tahoma" w:cs="Tahoma"/>
        </w:rPr>
      </w:pPr>
    </w:p>
    <w:p w:rsidR="004218D9" w:rsidRDefault="004218D9" w:rsidP="00223A3D">
      <w:pPr>
        <w:spacing w:after="0"/>
        <w:jc w:val="both"/>
        <w:rPr>
          <w:rFonts w:ascii="Tahoma" w:hAnsi="Tahoma" w:cs="Tahoma"/>
        </w:rPr>
      </w:pPr>
    </w:p>
    <w:p w:rsidR="004218D9" w:rsidRDefault="004218D9" w:rsidP="00223A3D">
      <w:pPr>
        <w:spacing w:after="0"/>
        <w:jc w:val="both"/>
        <w:rPr>
          <w:rFonts w:ascii="Tahoma" w:hAnsi="Tahoma" w:cs="Tahoma"/>
        </w:rPr>
      </w:pPr>
    </w:p>
    <w:p w:rsidR="004218D9" w:rsidRDefault="004218D9" w:rsidP="00223A3D">
      <w:pPr>
        <w:spacing w:after="0"/>
        <w:jc w:val="both"/>
        <w:rPr>
          <w:rFonts w:ascii="Tahoma" w:hAnsi="Tahoma" w:cs="Tahoma"/>
        </w:rPr>
      </w:pPr>
    </w:p>
    <w:p w:rsidR="00C74345" w:rsidRDefault="00C74345" w:rsidP="00223A3D">
      <w:pPr>
        <w:spacing w:after="0"/>
        <w:jc w:val="both"/>
        <w:rPr>
          <w:rFonts w:ascii="Tahoma" w:hAnsi="Tahoma" w:cs="Tahoma"/>
        </w:rPr>
      </w:pPr>
    </w:p>
    <w:p w:rsidR="004218D9" w:rsidRPr="005E7F8B" w:rsidRDefault="004218D9" w:rsidP="00223A3D">
      <w:pPr>
        <w:spacing w:after="0"/>
        <w:jc w:val="both"/>
        <w:rPr>
          <w:rFonts w:ascii="Tahoma" w:hAnsi="Tahoma" w:cs="Tahoma"/>
        </w:rPr>
      </w:pPr>
    </w:p>
    <w:p w:rsidR="00223A3D" w:rsidRPr="005E7F8B" w:rsidRDefault="00AD6527" w:rsidP="00914255">
      <w:pPr>
        <w:pStyle w:val="Titre2"/>
      </w:pPr>
      <w:bookmarkStart w:id="2" w:name="_Toc6241668"/>
      <w:r>
        <w:rPr>
          <w:rFonts w:ascii="Tahoma" w:eastAsia="Verdana" w:hAnsi="Tahoma" w:cs="Tahoma"/>
          <w:b/>
          <w:noProof/>
          <w:u w:val="single" w:color="000000"/>
        </w:rPr>
        <w:lastRenderedPageBreak/>
        <w:drawing>
          <wp:anchor distT="0" distB="0" distL="114300" distR="114300" simplePos="0" relativeHeight="251725824" behindDoc="1" locked="0" layoutInCell="1" allowOverlap="1" wp14:anchorId="7C082766" wp14:editId="5FDC5E87">
            <wp:simplePos x="0" y="0"/>
            <wp:positionH relativeFrom="margin">
              <wp:align>right</wp:align>
            </wp:positionH>
            <wp:positionV relativeFrom="paragraph">
              <wp:posOffset>181610</wp:posOffset>
            </wp:positionV>
            <wp:extent cx="2709545" cy="1240790"/>
            <wp:effectExtent l="0" t="0" r="0" b="0"/>
            <wp:wrapThrough wrapText="bothSides">
              <wp:wrapPolygon edited="0">
                <wp:start x="0" y="0"/>
                <wp:lineTo x="0" y="21224"/>
                <wp:lineTo x="21413" y="21224"/>
                <wp:lineTo x="21413" y="0"/>
                <wp:lineTo x="0" y="0"/>
              </wp:wrapPolygon>
            </wp:wrapThrough>
            <wp:docPr id="20" name="Image 20" descr="th72S4PT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72S4PT2M"/>
                    <pic:cNvPicPr>
                      <a:picLocks noChangeAspect="1" noChangeArrowheads="1"/>
                    </pic:cNvPicPr>
                  </pic:nvPicPr>
                  <pic:blipFill>
                    <a:blip r:embed="rId11">
                      <a:extLst>
                        <a:ext uri="{28A0092B-C50C-407E-A947-70E740481C1C}">
                          <a14:useLocalDpi xmlns:a14="http://schemas.microsoft.com/office/drawing/2010/main" val="0"/>
                        </a:ext>
                      </a:extLst>
                    </a:blip>
                    <a:srcRect t="27107" b="26765"/>
                    <a:stretch>
                      <a:fillRect/>
                    </a:stretch>
                  </pic:blipFill>
                  <pic:spPr bwMode="auto">
                    <a:xfrm>
                      <a:off x="0" y="0"/>
                      <a:ext cx="270954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A3D" w:rsidRPr="005E7F8B">
        <w:rPr>
          <w:rFonts w:eastAsia="Verdana"/>
          <w:u w:color="000000"/>
        </w:rPr>
        <w:t>LES JOURS DE CONGÉ D’ANCIENNETÉ</w:t>
      </w:r>
      <w:bookmarkEnd w:id="2"/>
      <w:r w:rsidR="00223A3D" w:rsidRPr="005E7F8B">
        <w:t xml:space="preserve"> </w:t>
      </w:r>
      <w:r w:rsidR="00223A3D" w:rsidRPr="005E7F8B">
        <w:tab/>
        <w:t xml:space="preserve"> </w:t>
      </w:r>
    </w:p>
    <w:tbl>
      <w:tblPr>
        <w:tblpPr w:leftFromText="141" w:rightFromText="141" w:vertAnchor="text" w:horzAnchor="margin" w:tblpY="2206"/>
        <w:tblOverlap w:val="never"/>
        <w:tblW w:w="10490" w:type="dxa"/>
        <w:tblBorders>
          <w:top w:val="single" w:sz="4" w:space="0" w:color="7F7F7F"/>
          <w:bottom w:val="single" w:sz="4" w:space="0" w:color="7F7F7F"/>
        </w:tblBorders>
        <w:tblLayout w:type="fixed"/>
        <w:tblLook w:val="0600" w:firstRow="0" w:lastRow="0" w:firstColumn="0" w:lastColumn="0" w:noHBand="1" w:noVBand="1"/>
      </w:tblPr>
      <w:tblGrid>
        <w:gridCol w:w="4987"/>
        <w:gridCol w:w="5503"/>
      </w:tblGrid>
      <w:tr w:rsidR="00EC1AC4" w:rsidRPr="005E7F8B" w:rsidTr="00642DA9">
        <w:trPr>
          <w:trHeight w:val="449"/>
        </w:trPr>
        <w:tc>
          <w:tcPr>
            <w:tcW w:w="4987" w:type="dxa"/>
            <w:shd w:val="clear" w:color="auto" w:fill="E2EFD9"/>
          </w:tcPr>
          <w:p w:rsidR="00EC1AC4" w:rsidRPr="00AD356A" w:rsidRDefault="00EC1AC4" w:rsidP="00EC1AC4">
            <w:pPr>
              <w:spacing w:before="0" w:after="0" w:line="259" w:lineRule="auto"/>
              <w:rPr>
                <w:rFonts w:cs="Tahoma"/>
              </w:rPr>
            </w:pPr>
            <w:r w:rsidRPr="00AD356A">
              <w:rPr>
                <w:rFonts w:cs="Tahoma"/>
                <w:b/>
              </w:rPr>
              <w:t>Ouvriers &amp; ATAM</w:t>
            </w:r>
          </w:p>
        </w:tc>
        <w:tc>
          <w:tcPr>
            <w:tcW w:w="5503" w:type="dxa"/>
            <w:shd w:val="clear" w:color="auto" w:fill="E2EFD9"/>
          </w:tcPr>
          <w:p w:rsidR="00EC1AC4" w:rsidRPr="00AD356A" w:rsidRDefault="00EC1AC4" w:rsidP="00EC1AC4">
            <w:pPr>
              <w:spacing w:before="0" w:after="0" w:line="259" w:lineRule="auto"/>
              <w:ind w:left="-17"/>
              <w:rPr>
                <w:rFonts w:cs="Tahoma"/>
              </w:rPr>
            </w:pPr>
            <w:r w:rsidRPr="00AD356A">
              <w:rPr>
                <w:rFonts w:cs="Tahoma"/>
                <w:b/>
              </w:rPr>
              <w:t xml:space="preserve">Ingénieurs &amp; cadres </w:t>
            </w:r>
          </w:p>
        </w:tc>
      </w:tr>
      <w:tr w:rsidR="00EC1AC4" w:rsidRPr="005E7F8B" w:rsidTr="00642DA9">
        <w:trPr>
          <w:trHeight w:val="1340"/>
        </w:trPr>
        <w:tc>
          <w:tcPr>
            <w:tcW w:w="4987" w:type="dxa"/>
            <w:shd w:val="clear" w:color="auto" w:fill="E2EFD9"/>
          </w:tcPr>
          <w:p w:rsidR="00EC1AC4" w:rsidRPr="00AD356A" w:rsidRDefault="00EC1AC4" w:rsidP="00EC1AC4">
            <w:pPr>
              <w:spacing w:before="0" w:after="0" w:line="259" w:lineRule="auto"/>
              <w:rPr>
                <w:rFonts w:cs="Tahoma"/>
              </w:rPr>
            </w:pPr>
            <w:r w:rsidRPr="00D3384B">
              <w:rPr>
                <w:rFonts w:cs="Tahoma"/>
                <w:b/>
              </w:rPr>
              <w:t>1</w:t>
            </w:r>
            <w:r w:rsidRPr="00AD356A">
              <w:rPr>
                <w:rFonts w:cs="Tahoma"/>
              </w:rPr>
              <w:t xml:space="preserve"> </w:t>
            </w:r>
            <w:r w:rsidRPr="00D3384B">
              <w:rPr>
                <w:rFonts w:cs="Tahoma"/>
                <w:b/>
              </w:rPr>
              <w:t>journée</w:t>
            </w:r>
            <w:r w:rsidRPr="00AD356A">
              <w:rPr>
                <w:rFonts w:cs="Tahoma"/>
              </w:rPr>
              <w:t xml:space="preserve"> après 10 ans </w:t>
            </w:r>
            <w:r w:rsidRPr="00AD356A">
              <w:rPr>
                <w:rFonts w:cs="Tahoma"/>
                <w:i/>
                <w:iCs/>
              </w:rPr>
              <w:t>d’ancienneté</w:t>
            </w:r>
          </w:p>
          <w:p w:rsidR="00EC1AC4" w:rsidRPr="00AD356A" w:rsidRDefault="00EC1AC4" w:rsidP="00EC1AC4">
            <w:pPr>
              <w:spacing w:before="0" w:after="0" w:line="259" w:lineRule="auto"/>
              <w:rPr>
                <w:rFonts w:cs="Tahoma"/>
              </w:rPr>
            </w:pPr>
            <w:r w:rsidRPr="00D3384B">
              <w:rPr>
                <w:rFonts w:cs="Tahoma"/>
                <w:b/>
              </w:rPr>
              <w:t>2</w:t>
            </w:r>
            <w:r w:rsidRPr="00AD356A">
              <w:rPr>
                <w:rFonts w:cs="Tahoma"/>
              </w:rPr>
              <w:t xml:space="preserve"> </w:t>
            </w:r>
            <w:r w:rsidRPr="00D3384B">
              <w:rPr>
                <w:rFonts w:cs="Tahoma"/>
                <w:b/>
              </w:rPr>
              <w:t>journées</w:t>
            </w:r>
            <w:r w:rsidRPr="00AD356A">
              <w:rPr>
                <w:rFonts w:cs="Tahoma"/>
              </w:rPr>
              <w:t xml:space="preserve"> après 15 ans </w:t>
            </w:r>
            <w:r w:rsidRPr="00AD356A">
              <w:rPr>
                <w:rFonts w:cs="Tahoma"/>
                <w:i/>
                <w:iCs/>
              </w:rPr>
              <w:t>d’ancienneté</w:t>
            </w:r>
          </w:p>
          <w:p w:rsidR="00EC1AC4" w:rsidRPr="00AD356A" w:rsidRDefault="00EC1AC4" w:rsidP="00EC1AC4">
            <w:pPr>
              <w:spacing w:before="0" w:after="0" w:line="259" w:lineRule="auto"/>
              <w:rPr>
                <w:rFonts w:cs="Tahoma"/>
              </w:rPr>
            </w:pPr>
            <w:r w:rsidRPr="00D3384B">
              <w:rPr>
                <w:rFonts w:cs="Tahoma"/>
                <w:b/>
              </w:rPr>
              <w:t>3 journées</w:t>
            </w:r>
            <w:r w:rsidRPr="00AD356A">
              <w:rPr>
                <w:rFonts w:cs="Tahoma"/>
              </w:rPr>
              <w:t xml:space="preserve"> après 20 ans </w:t>
            </w:r>
            <w:r w:rsidRPr="00AD356A">
              <w:rPr>
                <w:rFonts w:cs="Tahoma"/>
                <w:i/>
                <w:iCs/>
              </w:rPr>
              <w:t>d’ancienneté</w:t>
            </w:r>
          </w:p>
          <w:p w:rsidR="00EC1AC4" w:rsidRPr="00AD356A" w:rsidRDefault="00EC1AC4" w:rsidP="00EC1AC4">
            <w:pPr>
              <w:spacing w:before="0" w:after="0"/>
              <w:rPr>
                <w:rFonts w:cs="Tahoma"/>
              </w:rPr>
            </w:pPr>
            <w:r w:rsidRPr="00D3384B">
              <w:rPr>
                <w:rFonts w:cs="Tahoma"/>
                <w:b/>
              </w:rPr>
              <w:t>1 journée</w:t>
            </w:r>
            <w:r w:rsidRPr="00AD356A">
              <w:rPr>
                <w:rFonts w:cs="Tahoma"/>
              </w:rPr>
              <w:t xml:space="preserve"> </w:t>
            </w:r>
            <w:r w:rsidRPr="001B0580">
              <w:rPr>
                <w:rFonts w:cs="Tahoma"/>
              </w:rPr>
              <w:t>supplémentaire après 30 ans d’ancienneté ou plus de 55 ans avec un minimum de 10 ans d’ancienneté.</w:t>
            </w:r>
            <w:r w:rsidRPr="00AD356A">
              <w:rPr>
                <w:rFonts w:cs="Tahoma"/>
              </w:rPr>
              <w:t xml:space="preserve"> </w:t>
            </w:r>
          </w:p>
          <w:p w:rsidR="00EC1AC4" w:rsidRPr="00AD356A" w:rsidRDefault="00EC1AC4" w:rsidP="00EC1AC4">
            <w:pPr>
              <w:spacing w:before="0" w:after="0" w:line="259" w:lineRule="auto"/>
              <w:rPr>
                <w:rFonts w:cs="Tahoma"/>
              </w:rPr>
            </w:pPr>
          </w:p>
        </w:tc>
        <w:tc>
          <w:tcPr>
            <w:tcW w:w="5503" w:type="dxa"/>
            <w:shd w:val="clear" w:color="auto" w:fill="E2EFD9"/>
          </w:tcPr>
          <w:p w:rsidR="00EC1AC4" w:rsidRPr="00AD356A" w:rsidRDefault="00EC1AC4" w:rsidP="00EC1AC4">
            <w:pPr>
              <w:pStyle w:val="Default"/>
              <w:rPr>
                <w:rFonts w:ascii="Calibri" w:hAnsi="Calibri" w:cs="Tahoma"/>
                <w:i/>
                <w:iCs/>
                <w:sz w:val="20"/>
                <w:szCs w:val="20"/>
              </w:rPr>
            </w:pPr>
            <w:r w:rsidRPr="00D3384B">
              <w:rPr>
                <w:rFonts w:ascii="Calibri" w:hAnsi="Calibri" w:cs="Tahoma"/>
                <w:b/>
                <w:iCs/>
                <w:sz w:val="20"/>
                <w:szCs w:val="20"/>
              </w:rPr>
              <w:t>2</w:t>
            </w:r>
            <w:r w:rsidRPr="00D3384B">
              <w:rPr>
                <w:rFonts w:ascii="Calibri" w:hAnsi="Calibri" w:cs="Tahoma"/>
                <w:b/>
                <w:i/>
                <w:iCs/>
                <w:sz w:val="20"/>
                <w:szCs w:val="20"/>
              </w:rPr>
              <w:t xml:space="preserve"> jours</w:t>
            </w:r>
            <w:r w:rsidRPr="00AD356A">
              <w:rPr>
                <w:rFonts w:ascii="Calibri" w:hAnsi="Calibri" w:cs="Tahoma"/>
                <w:i/>
                <w:iCs/>
                <w:sz w:val="20"/>
                <w:szCs w:val="20"/>
              </w:rPr>
              <w:t xml:space="preserve"> pour l’ingénieur ou cadre âgé de 30 ans et ayant un an d’ancienneté dans l’entreprise </w:t>
            </w:r>
          </w:p>
          <w:p w:rsidR="00EC1AC4" w:rsidRPr="00AD356A" w:rsidRDefault="00EC1AC4" w:rsidP="00EC1AC4">
            <w:pPr>
              <w:pStyle w:val="Default"/>
              <w:rPr>
                <w:rFonts w:ascii="Calibri" w:hAnsi="Calibri" w:cs="Tahoma"/>
                <w:i/>
                <w:iCs/>
                <w:sz w:val="20"/>
                <w:szCs w:val="20"/>
              </w:rPr>
            </w:pPr>
            <w:r w:rsidRPr="00D3384B">
              <w:rPr>
                <w:rFonts w:ascii="Calibri" w:hAnsi="Calibri" w:cs="Tahoma"/>
                <w:b/>
                <w:sz w:val="20"/>
                <w:szCs w:val="20"/>
              </w:rPr>
              <w:t>4</w:t>
            </w:r>
            <w:r w:rsidRPr="00AD356A">
              <w:rPr>
                <w:rFonts w:ascii="Calibri" w:hAnsi="Calibri" w:cs="Tahoma"/>
                <w:sz w:val="20"/>
                <w:szCs w:val="20"/>
              </w:rPr>
              <w:t xml:space="preserve"> </w:t>
            </w:r>
            <w:r w:rsidRPr="00D3384B">
              <w:rPr>
                <w:rFonts w:ascii="Calibri" w:hAnsi="Calibri" w:cs="Tahoma"/>
                <w:b/>
                <w:i/>
                <w:iCs/>
                <w:sz w:val="20"/>
                <w:szCs w:val="20"/>
              </w:rPr>
              <w:t>jours</w:t>
            </w:r>
            <w:r w:rsidRPr="00AD356A">
              <w:rPr>
                <w:rFonts w:ascii="Calibri" w:hAnsi="Calibri" w:cs="Tahoma"/>
                <w:i/>
                <w:iCs/>
                <w:sz w:val="20"/>
                <w:szCs w:val="20"/>
              </w:rPr>
              <w:t xml:space="preserve"> pour l’ingénieur ou cadre âgé de 35 ans et ayant deux ans d’ancienneté dans l’entreprise </w:t>
            </w:r>
          </w:p>
          <w:p w:rsidR="00EC1AC4" w:rsidRPr="00AD356A" w:rsidRDefault="00EC1AC4" w:rsidP="00EC1AC4">
            <w:pPr>
              <w:pStyle w:val="Default"/>
              <w:rPr>
                <w:rFonts w:ascii="Calibri" w:hAnsi="Calibri" w:cs="Tahoma"/>
                <w:sz w:val="20"/>
                <w:szCs w:val="20"/>
              </w:rPr>
            </w:pPr>
          </w:p>
        </w:tc>
      </w:tr>
    </w:tbl>
    <w:p w:rsidR="00223A3D" w:rsidRPr="00AD6527" w:rsidRDefault="00223A3D" w:rsidP="00AD6527">
      <w:pPr>
        <w:spacing w:line="281" w:lineRule="auto"/>
        <w:ind w:right="72"/>
        <w:rPr>
          <w:rFonts w:ascii="Tahoma" w:hAnsi="Tahoma" w:cs="Tahoma"/>
        </w:rPr>
      </w:pPr>
      <w:r w:rsidRPr="005E7F8B">
        <w:rPr>
          <w:rFonts w:ascii="Tahoma" w:hAnsi="Tahoma" w:cs="Tahoma"/>
        </w:rPr>
        <w:t>Les jours de congés d’ancienneté ne sont pas prévus dans le Code du Travail. L’ancienneté est appréciée au 1er juin de chaque année civile.</w:t>
      </w:r>
      <w:r w:rsidRPr="005E7F8B">
        <w:rPr>
          <w:rFonts w:ascii="Tahoma" w:hAnsi="Tahoma" w:cs="Tahoma"/>
          <w:b/>
        </w:rPr>
        <w:t xml:space="preserve"> </w:t>
      </w:r>
      <w:r w:rsidRPr="005E7F8B">
        <w:rPr>
          <w:rFonts w:ascii="Tahoma" w:hAnsi="Tahoma" w:cs="Tahoma"/>
        </w:rPr>
        <w:t>le  Code  du  Travail (article L3142-1).  Cet accord est à durée déterminée.</w:t>
      </w:r>
      <w:r w:rsidR="00AD6527" w:rsidRPr="00AD6527">
        <w:rPr>
          <w:rFonts w:ascii="Tahoma" w:eastAsia="Verdana" w:hAnsi="Tahoma" w:cs="Tahoma"/>
          <w:b/>
          <w:noProof/>
          <w:u w:val="single" w:color="000000"/>
        </w:rPr>
        <w:t xml:space="preserve"> </w:t>
      </w:r>
    </w:p>
    <w:p w:rsidR="00AD6527" w:rsidRDefault="00223A3D" w:rsidP="00AD6527">
      <w:pPr>
        <w:autoSpaceDE w:val="0"/>
        <w:autoSpaceDN w:val="0"/>
        <w:adjustRightInd w:val="0"/>
        <w:rPr>
          <w:rFonts w:ascii="Tahoma" w:hAnsi="Tahoma" w:cs="Tahoma"/>
        </w:rPr>
      </w:pPr>
      <w:r w:rsidRPr="005E7F8B">
        <w:rPr>
          <w:rFonts w:ascii="Tahoma" w:hAnsi="Tahoma" w:cs="Tahoma"/>
        </w:rPr>
        <w:t>Ces journées apparaissent sur la fiche de paie du mois de juin de l’année suivante.</w:t>
      </w:r>
      <w:r w:rsidRPr="005E7F8B">
        <w:rPr>
          <w:rFonts w:ascii="Tahoma" w:eastAsia="Verdana" w:hAnsi="Tahoma" w:cs="Tahoma"/>
          <w:color w:val="548DD4"/>
        </w:rPr>
        <w:t xml:space="preserve"> </w:t>
      </w:r>
      <w:r w:rsidRPr="005E7F8B">
        <w:rPr>
          <w:rFonts w:ascii="Tahoma" w:hAnsi="Tahoma" w:cs="Tahoma"/>
        </w:rPr>
        <w:t>Les jours supplémentaires ne pourront donner lieu à attribution de jours de congé de fractionnement. La prise de ces jours peut se faire de manière anticipée à partir du 1er janvier de l'année civile considérée, selon l’accord sur « l’harmonisation des règles de paie au sein de la société Alstom Transport S.A. »</w:t>
      </w:r>
    </w:p>
    <w:p w:rsidR="00914255" w:rsidRPr="005E7F8B" w:rsidRDefault="00223A3D" w:rsidP="00223A3D">
      <w:pPr>
        <w:ind w:right="14"/>
        <w:rPr>
          <w:rFonts w:ascii="Tahoma" w:hAnsi="Tahoma" w:cs="Tahoma"/>
        </w:rPr>
      </w:pPr>
      <w:r w:rsidRPr="005E7F8B">
        <w:rPr>
          <w:rFonts w:ascii="Tahoma" w:hAnsi="Tahoma" w:cs="Tahoma"/>
        </w:rPr>
        <w:t>Les salariés ingénieurs &amp; cadres d’Alstom qui bénéficiaient par usage ou accord d’établissement d’au moins 4 jours de congé d’ancienneté au moment de la signature de l’accord d’entreprise « sur la réduction et l’aménagement du temps de travail au sein de la société Alstom Transport » en 1999 ont conservé un droit à 4 jours de congé d’ancienneté (l’accord 35h AREVA T&amp;D de 2001 appliquer sur le site et maintenu depuis le transfert de l’activité en 2014).</w:t>
      </w:r>
    </w:p>
    <w:p w:rsidR="005D3A6D" w:rsidRPr="005E7F8B" w:rsidRDefault="004C3153" w:rsidP="00914255">
      <w:pPr>
        <w:pStyle w:val="Titre2"/>
      </w:pPr>
      <w:bookmarkStart w:id="3" w:name="_Toc6241669"/>
      <w:r>
        <w:rPr>
          <w:rFonts w:ascii="Tahoma" w:hAnsi="Tahoma" w:cs="Tahoma"/>
          <w:b/>
          <w:caps w:val="0"/>
          <w:noProof/>
          <w:u w:val="single"/>
        </w:rPr>
        <w:drawing>
          <wp:anchor distT="0" distB="0" distL="114300" distR="114300" simplePos="0" relativeHeight="251680768" behindDoc="1" locked="0" layoutInCell="1" allowOverlap="1">
            <wp:simplePos x="0" y="0"/>
            <wp:positionH relativeFrom="margin">
              <wp:align>right</wp:align>
            </wp:positionH>
            <wp:positionV relativeFrom="paragraph">
              <wp:posOffset>1778635</wp:posOffset>
            </wp:positionV>
            <wp:extent cx="1633220" cy="1633220"/>
            <wp:effectExtent l="0" t="0" r="5080" b="5080"/>
            <wp:wrapTight wrapText="bothSides">
              <wp:wrapPolygon edited="0">
                <wp:start x="0" y="0"/>
                <wp:lineTo x="0" y="21415"/>
                <wp:lineTo x="21415" y="21415"/>
                <wp:lineTo x="21415" y="0"/>
                <wp:lineTo x="0" y="0"/>
              </wp:wrapPolygon>
            </wp:wrapTight>
            <wp:docPr id="11" name="Image 11" descr="mala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ad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322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A6D" w:rsidRPr="005E7F8B">
        <w:t>Les Congés pour Enfant malade</w:t>
      </w:r>
      <w:bookmarkEnd w:id="3"/>
    </w:p>
    <w:p w:rsidR="005D3A6D" w:rsidRDefault="005D3A6D" w:rsidP="005D3A6D">
      <w:pPr>
        <w:rPr>
          <w:rFonts w:ascii="Tahoma" w:hAnsi="Tahoma" w:cs="Tahoma"/>
        </w:rPr>
      </w:pPr>
      <w:r w:rsidRPr="005E7F8B">
        <w:rPr>
          <w:rFonts w:ascii="Tahoma" w:hAnsi="Tahoma" w:cs="Tahoma"/>
        </w:rPr>
        <w:t xml:space="preserve">Il sera  accordé  à  la  mère  ou  au  père  dont  la  présence  sera  indispensable  auprès  d’un  enfant  malade  une autorisation d’absence pour le soigner pendant une durée maximale de six jours par année civile, quel que soit le nombre d’enfants. </w:t>
      </w:r>
    </w:p>
    <w:p w:rsidR="00914255" w:rsidRDefault="005D3A6D" w:rsidP="00223A3D">
      <w:pPr>
        <w:rPr>
          <w:rFonts w:ascii="Tahoma" w:hAnsi="Tahoma" w:cs="Tahoma"/>
        </w:rPr>
      </w:pPr>
      <w:r w:rsidRPr="005E7F8B">
        <w:rPr>
          <w:rFonts w:ascii="Tahoma" w:hAnsi="Tahoma" w:cs="Tahoma"/>
        </w:rPr>
        <w:t xml:space="preserve">Pendant cette période, les salariés ayant un an d’ancienneté dans l’entreprise percevront à 100% pendant 3 jours leur rémunération sous condition d’un certificat médical attestant que l’état de santé de l’enfant nécessite une présence constante de l’un de ses parents et que cet enfant soit âgé de moins de douze ans. </w:t>
      </w:r>
    </w:p>
    <w:tbl>
      <w:tblPr>
        <w:tblStyle w:val="Grilledutableau"/>
        <w:tblpPr w:leftFromText="141" w:rightFromText="141" w:vertAnchor="page" w:horzAnchor="margin" w:tblpXSpec="right" w:tblpY="13741"/>
        <w:tblW w:w="721" w:type="dxa"/>
        <w:tblLook w:val="04A0" w:firstRow="1" w:lastRow="0" w:firstColumn="1" w:lastColumn="0" w:noHBand="0" w:noVBand="1"/>
      </w:tblPr>
      <w:tblGrid>
        <w:gridCol w:w="721"/>
      </w:tblGrid>
      <w:tr w:rsidR="004C3153" w:rsidTr="004C3153">
        <w:trPr>
          <w:cantSplit/>
          <w:trHeight w:val="2089"/>
        </w:trPr>
        <w:tc>
          <w:tcPr>
            <w:tcW w:w="721" w:type="dxa"/>
            <w:tcBorders>
              <w:top w:val="nil"/>
              <w:left w:val="nil"/>
              <w:bottom w:val="nil"/>
              <w:right w:val="nil"/>
            </w:tcBorders>
            <w:textDirection w:val="tbRl"/>
          </w:tcPr>
          <w:p w:rsidR="004C3153" w:rsidRDefault="004C3153" w:rsidP="004C3153">
            <w:pPr>
              <w:pStyle w:val="Titre2"/>
              <w:ind w:left="113" w:right="113"/>
              <w:outlineLvl w:val="1"/>
            </w:pPr>
            <w:bookmarkStart w:id="4" w:name="_Toc6241670"/>
            <w:r>
              <w:t>ACCORD EQVT</w:t>
            </w:r>
            <w:bookmarkEnd w:id="4"/>
          </w:p>
        </w:tc>
      </w:tr>
    </w:tbl>
    <w:p w:rsidR="00E60F29" w:rsidRPr="00E60F29" w:rsidRDefault="00E60F29" w:rsidP="00E60F29">
      <w:pPr>
        <w:pStyle w:val="Titre6"/>
      </w:pPr>
      <w:r w:rsidRPr="00E60F29">
        <w:t xml:space="preserve">Garde d’enfant malade: </w:t>
      </w:r>
    </w:p>
    <w:p w:rsidR="00E60F29" w:rsidRPr="00E60F29" w:rsidRDefault="00E60F29" w:rsidP="00E60F29">
      <w:pPr>
        <w:spacing w:line="240" w:lineRule="exact"/>
        <w:ind w:right="991"/>
        <w:jc w:val="both"/>
        <w:rPr>
          <w:rFonts w:ascii="Arial" w:hAnsi="Arial" w:cs="Arial"/>
        </w:rPr>
      </w:pPr>
      <w:r w:rsidRPr="00E60F29">
        <w:rPr>
          <w:rFonts w:ascii="Arial" w:hAnsi="Arial" w:cs="Arial"/>
        </w:rPr>
        <w:t xml:space="preserve">En cas de maladie d’un enfant de moins de 16 ans nécessitant la présence d’un adulte à son chevet, le salarié peut bénéficier d’une aide pour lui permettre le cas échéant de recourir à une tierce personne. </w:t>
      </w:r>
    </w:p>
    <w:p w:rsidR="00E60F29" w:rsidRPr="00E60F29" w:rsidRDefault="00E60F29" w:rsidP="00E60F29">
      <w:pPr>
        <w:spacing w:line="240" w:lineRule="exact"/>
        <w:ind w:right="991"/>
        <w:jc w:val="both"/>
        <w:rPr>
          <w:rFonts w:ascii="Arial" w:hAnsi="Arial" w:cs="Arial"/>
        </w:rPr>
      </w:pPr>
      <w:r w:rsidRPr="00E60F29">
        <w:rPr>
          <w:rFonts w:ascii="Arial" w:hAnsi="Arial" w:cs="Arial"/>
        </w:rPr>
        <w:t>Le bénéfice de cette aide peut couvrir le recours à un proche parent (frais de transport : billet de train 2</w:t>
      </w:r>
      <w:r w:rsidRPr="00E60F29">
        <w:rPr>
          <w:rFonts w:ascii="Arial" w:hAnsi="Arial" w:cs="Arial"/>
          <w:vertAlign w:val="superscript"/>
        </w:rPr>
        <w:t>ème</w:t>
      </w:r>
      <w:r w:rsidRPr="00E60F29">
        <w:rPr>
          <w:rFonts w:ascii="Arial" w:hAnsi="Arial" w:cs="Arial"/>
        </w:rPr>
        <w:t xml:space="preserve"> classe ou frais d’essence et de péage) ou à une professionnelle mandatée par un organisme habilité.</w:t>
      </w:r>
    </w:p>
    <w:p w:rsidR="00E60F29" w:rsidRPr="00E60F29" w:rsidRDefault="00E60F29" w:rsidP="00E60F29">
      <w:pPr>
        <w:spacing w:line="240" w:lineRule="exact"/>
        <w:ind w:right="991"/>
        <w:jc w:val="both"/>
        <w:rPr>
          <w:rFonts w:ascii="Arial" w:hAnsi="Arial" w:cs="Arial"/>
          <w:b/>
        </w:rPr>
      </w:pPr>
      <w:r w:rsidRPr="00E60F29">
        <w:rPr>
          <w:rFonts w:ascii="Arial" w:hAnsi="Arial" w:cs="Arial"/>
        </w:rPr>
        <w:t>Le montant des dépenses engagées au titre de cette garde ponctuelle est remboursé, sous réserve de la production d’un certificat médical et d’une attestation sur l’honneur (avec copie de la pièce d’identité) en cas d’intervention d’un proche parent, par note de frais sur  justificatifs des frais engagés (facture acquittée ou billets de train) dans la limite d’un plafond annuel de 200€ .</w:t>
      </w:r>
      <w:r w:rsidRPr="00E60F29">
        <w:rPr>
          <w:rFonts w:ascii="Arial" w:hAnsi="Arial" w:cs="Arial"/>
          <w:color w:val="000000"/>
        </w:rPr>
        <w:t xml:space="preserve"> </w:t>
      </w:r>
    </w:p>
    <w:p w:rsidR="00223A3D" w:rsidRPr="005E7F8B" w:rsidRDefault="00223A3D" w:rsidP="00EC1AC4">
      <w:pPr>
        <w:pStyle w:val="Titre5"/>
      </w:pPr>
      <w:r w:rsidRPr="005E7F8B">
        <w:rPr>
          <w:rFonts w:eastAsia="Verdana"/>
          <w:u w:color="000000"/>
        </w:rPr>
        <w:t>PRISE DES CONGÉS PAYES LEGAUX &amp; D’ANCIENNETE</w:t>
      </w:r>
      <w:r w:rsidRPr="005E7F8B">
        <w:t xml:space="preserve"> </w:t>
      </w:r>
    </w:p>
    <w:p w:rsidR="005D3A6D" w:rsidRDefault="00223A3D" w:rsidP="00223A3D">
      <w:pPr>
        <w:rPr>
          <w:rFonts w:ascii="Tahoma" w:hAnsi="Tahoma" w:cs="Tahoma"/>
        </w:rPr>
      </w:pPr>
      <w:r w:rsidRPr="005E7F8B">
        <w:rPr>
          <w:rFonts w:ascii="Tahoma" w:hAnsi="Tahoma" w:cs="Tahoma"/>
        </w:rPr>
        <w:t>La prise des CP s’effectuant, en principe pendant la période suivante, cependant, grâce à l'accord sur les règles de paye signé par FO la pris des congés légaux &amp; d’ancienneté peut, de droit, se faire de façon anticipée dès le 1er janvier. Les quatre premières semaines de congé payé légaux doivent normalement être prises avant le 1er juin et ne peuvent être utilisées pour alimenter le CET. Les autres jours de congé payé légaux et les jours d’anciennetés non pris avant le 1er juin soit automatiquement basculés sur le CET.</w:t>
      </w:r>
    </w:p>
    <w:p w:rsidR="005D3A6D" w:rsidRPr="005E7F8B" w:rsidRDefault="005D3A6D" w:rsidP="00713906">
      <w:pPr>
        <w:pStyle w:val="Titre2"/>
      </w:pPr>
      <w:bookmarkStart w:id="5" w:name="_Toc6241671"/>
      <w:r w:rsidRPr="005E7F8B">
        <w:t>Les Congés exceptionnels</w:t>
      </w:r>
      <w:bookmarkEnd w:id="5"/>
    </w:p>
    <w:p w:rsidR="005D3A6D" w:rsidRPr="005E7F8B" w:rsidRDefault="005D3A6D" w:rsidP="00EC1AC4">
      <w:pPr>
        <w:pStyle w:val="Titre4"/>
      </w:pPr>
      <w:r w:rsidRPr="005E7F8B">
        <w:lastRenderedPageBreak/>
        <w:t xml:space="preserve">Pour événements familiaux : </w:t>
      </w:r>
    </w:p>
    <w:p w:rsidR="005D3A6D" w:rsidRDefault="00AD6527" w:rsidP="005D3A6D">
      <w:pPr>
        <w:rPr>
          <w:rFonts w:ascii="Tahoma" w:hAnsi="Tahoma" w:cs="Tahoma"/>
        </w:rPr>
      </w:pPr>
      <w:r>
        <w:rPr>
          <w:rFonts w:ascii="Tahoma" w:hAnsi="Tahoma" w:cs="Tahoma"/>
          <w:noProof/>
        </w:rPr>
        <w:drawing>
          <wp:anchor distT="0" distB="0" distL="114300" distR="114300" simplePos="0" relativeHeight="251700224" behindDoc="1" locked="0" layoutInCell="1" allowOverlap="1" wp14:anchorId="6124A0E5" wp14:editId="553D49AE">
            <wp:simplePos x="0" y="0"/>
            <wp:positionH relativeFrom="column">
              <wp:posOffset>5562600</wp:posOffset>
            </wp:positionH>
            <wp:positionV relativeFrom="paragraph">
              <wp:posOffset>74718</wp:posOffset>
            </wp:positionV>
            <wp:extent cx="967105" cy="686435"/>
            <wp:effectExtent l="0" t="0" r="4445" b="0"/>
            <wp:wrapTight wrapText="bothSides">
              <wp:wrapPolygon edited="0">
                <wp:start x="0" y="0"/>
                <wp:lineTo x="0" y="20981"/>
                <wp:lineTo x="21274" y="20981"/>
                <wp:lineTo x="2127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710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A6D" w:rsidRPr="005E7F8B">
        <w:rPr>
          <w:rFonts w:ascii="Tahoma" w:hAnsi="Tahoma" w:cs="Tahoma"/>
        </w:rPr>
        <w:t xml:space="preserve">Les congés pour événements familiaux sont des autorisations d’absences payées sur présentation de justificatifs au service des Ressources Humaines. Ils sont à prendre au moment de l’événement. Si l’événement a lieu pendant les congés du salarié, celui-ci ne peut prétendre à ces autorisations d’absences. Seul le congé mariage pourra être pris ultérieurement. </w:t>
      </w:r>
    </w:p>
    <w:p w:rsidR="00EC1AC4" w:rsidRDefault="00EC1AC4" w:rsidP="00EC1AC4">
      <w:pPr>
        <w:pStyle w:val="Titre5"/>
        <w:rPr>
          <w:rFonts w:eastAsia="Verdana"/>
          <w:u w:color="000000"/>
        </w:rPr>
      </w:pPr>
      <w:r w:rsidRPr="005E7F8B">
        <w:rPr>
          <w:rFonts w:eastAsia="Verdana"/>
          <w:u w:color="000000"/>
        </w:rPr>
        <w:t>LES JOURS DE CONGÉS POUR ÉVÉNEMENTS FAMILIAUX</w:t>
      </w:r>
    </w:p>
    <w:tbl>
      <w:tblPr>
        <w:tblpPr w:leftFromText="141" w:rightFromText="141" w:vertAnchor="text" w:horzAnchor="margin" w:tblpY="1350"/>
        <w:tblW w:w="8004" w:type="dxa"/>
        <w:tblBorders>
          <w:insideH w:val="thickThinLargeGap" w:sz="6" w:space="0" w:color="auto"/>
        </w:tblBorders>
        <w:tblLook w:val="04A0" w:firstRow="1" w:lastRow="0" w:firstColumn="1" w:lastColumn="0" w:noHBand="0" w:noVBand="1"/>
      </w:tblPr>
      <w:tblGrid>
        <w:gridCol w:w="5741"/>
        <w:gridCol w:w="2263"/>
      </w:tblGrid>
      <w:tr w:rsidR="00EC1AC4" w:rsidRPr="00C969A2" w:rsidTr="00AD6527">
        <w:trPr>
          <w:trHeight w:val="329"/>
        </w:trPr>
        <w:tc>
          <w:tcPr>
            <w:tcW w:w="5741" w:type="dxa"/>
            <w:shd w:val="clear" w:color="auto" w:fill="D9E2F3"/>
          </w:tcPr>
          <w:p w:rsidR="00EC1AC4" w:rsidRPr="00C969A2" w:rsidRDefault="00EC1AC4" w:rsidP="00AD6527">
            <w:pPr>
              <w:spacing w:before="0" w:after="0" w:line="240" w:lineRule="auto"/>
              <w:rPr>
                <w:b/>
              </w:rPr>
            </w:pPr>
            <w:r w:rsidRPr="00C969A2">
              <w:rPr>
                <w:b/>
              </w:rPr>
              <w:t>Mariage du salarié ou ¨PACS</w:t>
            </w:r>
          </w:p>
        </w:tc>
        <w:tc>
          <w:tcPr>
            <w:tcW w:w="2263" w:type="dxa"/>
            <w:shd w:val="clear" w:color="auto" w:fill="D9E2F3"/>
          </w:tcPr>
          <w:p w:rsidR="00EC1AC4" w:rsidRPr="00C969A2" w:rsidRDefault="00EC1AC4" w:rsidP="00AD6527">
            <w:pPr>
              <w:spacing w:before="0" w:after="0" w:line="240" w:lineRule="auto"/>
              <w:ind w:right="83"/>
              <w:rPr>
                <w:rFonts w:cs="Calibri"/>
                <w:b/>
              </w:rPr>
            </w:pPr>
            <w:r w:rsidRPr="00C969A2">
              <w:rPr>
                <w:rFonts w:cs="Calibri"/>
                <w:b/>
                <w:color w:val="538135"/>
              </w:rPr>
              <w:t>5 jours</w:t>
            </w:r>
          </w:p>
        </w:tc>
      </w:tr>
      <w:tr w:rsidR="00EC1AC4" w:rsidRPr="00C969A2" w:rsidTr="00AD6527">
        <w:trPr>
          <w:trHeight w:val="246"/>
        </w:trPr>
        <w:tc>
          <w:tcPr>
            <w:tcW w:w="5741" w:type="dxa"/>
            <w:shd w:val="clear" w:color="auto" w:fill="D9E2F3"/>
          </w:tcPr>
          <w:p w:rsidR="00EC1AC4" w:rsidRPr="00C969A2" w:rsidRDefault="00EC1AC4" w:rsidP="00AD6527">
            <w:pPr>
              <w:spacing w:before="0" w:after="0" w:line="240" w:lineRule="auto"/>
              <w:ind w:right="83"/>
              <w:rPr>
                <w:rFonts w:cs="Calibri"/>
                <w:b/>
              </w:rPr>
            </w:pPr>
            <w:r w:rsidRPr="00C969A2">
              <w:rPr>
                <w:rFonts w:cs="Calibri"/>
                <w:b/>
              </w:rPr>
              <w:t>Mariage d'un enfant **</w:t>
            </w:r>
          </w:p>
        </w:tc>
        <w:tc>
          <w:tcPr>
            <w:tcW w:w="2263" w:type="dxa"/>
            <w:shd w:val="clear" w:color="auto" w:fill="D9E2F3"/>
          </w:tcPr>
          <w:p w:rsidR="00EC1AC4" w:rsidRPr="00AD356A" w:rsidRDefault="00EC1AC4" w:rsidP="00AD6527">
            <w:pPr>
              <w:spacing w:before="0" w:after="0" w:line="240" w:lineRule="auto"/>
              <w:ind w:right="83"/>
              <w:rPr>
                <w:rFonts w:cs="Calibri"/>
                <w:b/>
                <w:color w:val="538135"/>
              </w:rPr>
            </w:pPr>
            <w:r w:rsidRPr="00AD356A">
              <w:rPr>
                <w:rFonts w:cs="Calibri"/>
                <w:b/>
                <w:color w:val="538135"/>
              </w:rPr>
              <w:t>2 jours</w:t>
            </w:r>
          </w:p>
        </w:tc>
      </w:tr>
      <w:tr w:rsidR="00EC1AC4" w:rsidRPr="00C969A2" w:rsidTr="00AD6527">
        <w:trPr>
          <w:trHeight w:val="236"/>
        </w:trPr>
        <w:tc>
          <w:tcPr>
            <w:tcW w:w="5741" w:type="dxa"/>
            <w:shd w:val="clear" w:color="auto" w:fill="B4C6E7"/>
          </w:tcPr>
          <w:p w:rsidR="00EC1AC4" w:rsidRPr="00C969A2" w:rsidRDefault="00EC1AC4" w:rsidP="00AD6527">
            <w:pPr>
              <w:spacing w:before="0" w:after="0" w:line="240" w:lineRule="auto"/>
              <w:ind w:right="83"/>
              <w:rPr>
                <w:rFonts w:cs="Calibri"/>
                <w:b/>
              </w:rPr>
            </w:pPr>
            <w:r w:rsidRPr="00C969A2">
              <w:rPr>
                <w:rFonts w:cs="Calibri"/>
                <w:b/>
              </w:rPr>
              <w:t>Naissance survenue au foyer ou arrivée</w:t>
            </w:r>
          </w:p>
        </w:tc>
        <w:tc>
          <w:tcPr>
            <w:tcW w:w="2263" w:type="dxa"/>
            <w:shd w:val="clear" w:color="auto" w:fill="B4C6E7"/>
          </w:tcPr>
          <w:p w:rsidR="00EC1AC4" w:rsidRPr="00AD356A" w:rsidRDefault="00EC1AC4" w:rsidP="00AD6527">
            <w:pPr>
              <w:spacing w:before="0" w:after="0" w:line="240" w:lineRule="auto"/>
              <w:ind w:right="83"/>
              <w:rPr>
                <w:rFonts w:cs="Calibri"/>
                <w:b/>
                <w:color w:val="538135"/>
              </w:rPr>
            </w:pPr>
            <w:r w:rsidRPr="00AD356A">
              <w:rPr>
                <w:rFonts w:cs="Calibri"/>
                <w:b/>
                <w:color w:val="538135"/>
              </w:rPr>
              <w:t>3 jours</w:t>
            </w:r>
          </w:p>
        </w:tc>
      </w:tr>
      <w:tr w:rsidR="00EC1AC4" w:rsidRPr="00C969A2" w:rsidTr="00AD6527">
        <w:trPr>
          <w:trHeight w:val="246"/>
        </w:trPr>
        <w:tc>
          <w:tcPr>
            <w:tcW w:w="5741" w:type="dxa"/>
            <w:shd w:val="clear" w:color="auto" w:fill="E2EFD9"/>
          </w:tcPr>
          <w:p w:rsidR="00EC1AC4" w:rsidRPr="00C969A2" w:rsidRDefault="00EC1AC4" w:rsidP="00AD6527">
            <w:pPr>
              <w:spacing w:before="0" w:after="0" w:line="240" w:lineRule="auto"/>
              <w:ind w:right="83"/>
              <w:rPr>
                <w:rFonts w:cs="Calibri"/>
                <w:b/>
              </w:rPr>
            </w:pPr>
            <w:r w:rsidRPr="00C969A2">
              <w:rPr>
                <w:rFonts w:cs="Calibri"/>
                <w:b/>
              </w:rPr>
              <w:t>Décès du conjoint</w:t>
            </w:r>
          </w:p>
        </w:tc>
        <w:tc>
          <w:tcPr>
            <w:tcW w:w="2263" w:type="dxa"/>
            <w:shd w:val="clear" w:color="auto" w:fill="E2EFD9"/>
          </w:tcPr>
          <w:p w:rsidR="00EC1AC4" w:rsidRPr="00C969A2" w:rsidRDefault="00EC1AC4" w:rsidP="00AD6527">
            <w:pPr>
              <w:spacing w:before="0" w:after="0" w:line="240" w:lineRule="auto"/>
              <w:ind w:right="83"/>
              <w:rPr>
                <w:rFonts w:cs="Calibri"/>
                <w:b/>
              </w:rPr>
            </w:pPr>
            <w:r w:rsidRPr="00C969A2">
              <w:rPr>
                <w:rFonts w:cs="Calibri"/>
                <w:b/>
                <w:color w:val="538135"/>
              </w:rPr>
              <w:t xml:space="preserve">5 jours </w:t>
            </w:r>
          </w:p>
        </w:tc>
      </w:tr>
      <w:tr w:rsidR="00EC1AC4" w:rsidRPr="00C969A2" w:rsidTr="00AD6527">
        <w:trPr>
          <w:trHeight w:val="236"/>
        </w:trPr>
        <w:tc>
          <w:tcPr>
            <w:tcW w:w="5741" w:type="dxa"/>
            <w:shd w:val="clear" w:color="auto" w:fill="E2EFD9"/>
          </w:tcPr>
          <w:p w:rsidR="00EC1AC4" w:rsidRPr="00C969A2" w:rsidRDefault="00EC1AC4" w:rsidP="00AD6527">
            <w:pPr>
              <w:spacing w:before="0" w:after="0" w:line="240" w:lineRule="auto"/>
              <w:ind w:right="83"/>
              <w:rPr>
                <w:rFonts w:cs="Calibri"/>
                <w:b/>
              </w:rPr>
            </w:pPr>
            <w:r w:rsidRPr="00C969A2">
              <w:rPr>
                <w:rFonts w:cs="Calibri"/>
                <w:b/>
              </w:rPr>
              <w:t>Décès d'un enfant</w:t>
            </w:r>
          </w:p>
        </w:tc>
        <w:tc>
          <w:tcPr>
            <w:tcW w:w="2263" w:type="dxa"/>
            <w:shd w:val="clear" w:color="auto" w:fill="E2EFD9"/>
          </w:tcPr>
          <w:p w:rsidR="00EC1AC4" w:rsidRPr="00C969A2" w:rsidRDefault="00EC1AC4" w:rsidP="00AD6527">
            <w:pPr>
              <w:spacing w:before="0" w:after="0" w:line="240" w:lineRule="auto"/>
              <w:ind w:right="83"/>
              <w:rPr>
                <w:rFonts w:cs="Calibri"/>
                <w:b/>
              </w:rPr>
            </w:pPr>
            <w:r w:rsidRPr="00C969A2">
              <w:rPr>
                <w:rFonts w:cs="Calibri"/>
                <w:b/>
                <w:color w:val="538135"/>
              </w:rPr>
              <w:t>5jours</w:t>
            </w:r>
            <w:r w:rsidRPr="00C969A2">
              <w:rPr>
                <w:rFonts w:cs="Calibri"/>
                <w:b/>
              </w:rPr>
              <w:t xml:space="preserve"> </w:t>
            </w:r>
          </w:p>
        </w:tc>
      </w:tr>
      <w:tr w:rsidR="00EC1AC4" w:rsidRPr="00C969A2" w:rsidTr="00AD6527">
        <w:trPr>
          <w:trHeight w:val="236"/>
        </w:trPr>
        <w:tc>
          <w:tcPr>
            <w:tcW w:w="5741" w:type="dxa"/>
            <w:shd w:val="clear" w:color="auto" w:fill="E2EFD9"/>
          </w:tcPr>
          <w:p w:rsidR="00EC1AC4" w:rsidRPr="00C969A2" w:rsidRDefault="00EC1AC4" w:rsidP="00AD6527">
            <w:pPr>
              <w:spacing w:before="0" w:after="0" w:line="240" w:lineRule="auto"/>
              <w:ind w:right="83"/>
              <w:rPr>
                <w:rFonts w:cs="Calibri"/>
                <w:b/>
              </w:rPr>
            </w:pPr>
            <w:r w:rsidRPr="00C969A2">
              <w:rPr>
                <w:rFonts w:cs="Calibri"/>
                <w:b/>
              </w:rPr>
              <w:t>Décès d'un proche (</w:t>
            </w:r>
            <w:r w:rsidRPr="00411DCE">
              <w:rPr>
                <w:rFonts w:cs="Calibri"/>
                <w:sz w:val="16"/>
              </w:rPr>
              <w:t>mère, père, frère, sœur, concubin, beau - parent</w:t>
            </w:r>
            <w:r w:rsidRPr="00C969A2">
              <w:rPr>
                <w:rFonts w:cs="Calibri"/>
                <w:b/>
              </w:rPr>
              <w:t>)</w:t>
            </w:r>
            <w:r>
              <w:rPr>
                <w:rFonts w:cs="Calibri"/>
                <w:b/>
              </w:rPr>
              <w:t xml:space="preserve"> *</w:t>
            </w:r>
            <w:r w:rsidRPr="00C969A2">
              <w:rPr>
                <w:rFonts w:cs="Calibri"/>
                <w:b/>
              </w:rPr>
              <w:t>*</w:t>
            </w:r>
          </w:p>
        </w:tc>
        <w:tc>
          <w:tcPr>
            <w:tcW w:w="2263" w:type="dxa"/>
            <w:shd w:val="clear" w:color="auto" w:fill="E2EFD9"/>
          </w:tcPr>
          <w:p w:rsidR="00EC1AC4" w:rsidRPr="00C969A2" w:rsidRDefault="00EC1AC4" w:rsidP="00AD6527">
            <w:pPr>
              <w:spacing w:before="0" w:after="0" w:line="240" w:lineRule="auto"/>
              <w:ind w:right="83"/>
              <w:rPr>
                <w:rFonts w:cs="Calibri"/>
                <w:b/>
              </w:rPr>
            </w:pPr>
            <w:r w:rsidRPr="00C969A2">
              <w:rPr>
                <w:rFonts w:cs="Calibri"/>
                <w:b/>
                <w:color w:val="538135"/>
              </w:rPr>
              <w:t xml:space="preserve">3 jours </w:t>
            </w:r>
          </w:p>
        </w:tc>
      </w:tr>
      <w:tr w:rsidR="00EC1AC4" w:rsidRPr="00C969A2" w:rsidTr="00AD6527">
        <w:trPr>
          <w:trHeight w:val="236"/>
        </w:trPr>
        <w:tc>
          <w:tcPr>
            <w:tcW w:w="5741" w:type="dxa"/>
            <w:shd w:val="clear" w:color="auto" w:fill="E2EFD9"/>
          </w:tcPr>
          <w:p w:rsidR="00EC1AC4" w:rsidRPr="00C969A2" w:rsidRDefault="00EC1AC4" w:rsidP="00AD6527">
            <w:pPr>
              <w:spacing w:before="0" w:after="0" w:line="240" w:lineRule="auto"/>
              <w:ind w:right="83"/>
              <w:rPr>
                <w:rFonts w:cs="Calibri"/>
                <w:b/>
              </w:rPr>
            </w:pPr>
            <w:r w:rsidRPr="00C969A2">
              <w:rPr>
                <w:rFonts w:cs="Calibri"/>
                <w:b/>
              </w:rPr>
              <w:t>Décès d'un petit-enfant   **</w:t>
            </w:r>
          </w:p>
        </w:tc>
        <w:tc>
          <w:tcPr>
            <w:tcW w:w="2263" w:type="dxa"/>
            <w:shd w:val="clear" w:color="auto" w:fill="E2EFD9"/>
          </w:tcPr>
          <w:p w:rsidR="00EC1AC4" w:rsidRPr="00C969A2" w:rsidRDefault="00EC1AC4" w:rsidP="00AD6527">
            <w:pPr>
              <w:spacing w:before="0" w:after="0" w:line="240" w:lineRule="auto"/>
              <w:ind w:right="83"/>
              <w:rPr>
                <w:rFonts w:cs="Calibri"/>
                <w:b/>
                <w:color w:val="538135"/>
              </w:rPr>
            </w:pPr>
            <w:r w:rsidRPr="00C969A2">
              <w:rPr>
                <w:rFonts w:cs="Calibri"/>
                <w:b/>
                <w:color w:val="538135"/>
              </w:rPr>
              <w:t>2 jours</w:t>
            </w:r>
          </w:p>
        </w:tc>
      </w:tr>
      <w:tr w:rsidR="00EC1AC4" w:rsidRPr="00C969A2" w:rsidTr="00AD6527">
        <w:trPr>
          <w:trHeight w:val="246"/>
        </w:trPr>
        <w:tc>
          <w:tcPr>
            <w:tcW w:w="5741" w:type="dxa"/>
            <w:shd w:val="clear" w:color="auto" w:fill="E2EFD9"/>
          </w:tcPr>
          <w:p w:rsidR="00EC1AC4" w:rsidRPr="00C969A2" w:rsidRDefault="00EC1AC4" w:rsidP="00AD6527">
            <w:pPr>
              <w:spacing w:before="0" w:after="0" w:line="240" w:lineRule="auto"/>
              <w:ind w:right="83"/>
              <w:rPr>
                <w:rFonts w:cs="Calibri"/>
                <w:b/>
              </w:rPr>
            </w:pPr>
            <w:r w:rsidRPr="00C969A2">
              <w:rPr>
                <w:rFonts w:cs="Calibri"/>
                <w:b/>
              </w:rPr>
              <w:t>Décès d'un grand-parent du salarié ou de son conjoint **</w:t>
            </w:r>
          </w:p>
        </w:tc>
        <w:tc>
          <w:tcPr>
            <w:tcW w:w="2263" w:type="dxa"/>
            <w:shd w:val="clear" w:color="auto" w:fill="E2EFD9"/>
          </w:tcPr>
          <w:p w:rsidR="00EC1AC4" w:rsidRPr="00C969A2" w:rsidRDefault="00EC1AC4" w:rsidP="00AD6527">
            <w:pPr>
              <w:spacing w:before="0" w:after="0" w:line="240" w:lineRule="auto"/>
              <w:ind w:right="83"/>
              <w:rPr>
                <w:rFonts w:cs="Calibri"/>
                <w:b/>
                <w:color w:val="538135"/>
              </w:rPr>
            </w:pPr>
            <w:r w:rsidRPr="00C969A2">
              <w:rPr>
                <w:rFonts w:cs="Calibri"/>
                <w:b/>
                <w:color w:val="538135"/>
              </w:rPr>
              <w:t xml:space="preserve">1 jour </w:t>
            </w:r>
          </w:p>
        </w:tc>
      </w:tr>
      <w:tr w:rsidR="00EC1AC4" w:rsidRPr="00C969A2" w:rsidTr="00AD6527">
        <w:trPr>
          <w:trHeight w:val="246"/>
        </w:trPr>
        <w:tc>
          <w:tcPr>
            <w:tcW w:w="5741" w:type="dxa"/>
            <w:shd w:val="clear" w:color="auto" w:fill="E2EFD9"/>
          </w:tcPr>
          <w:p w:rsidR="00EC1AC4" w:rsidRPr="00C969A2" w:rsidRDefault="00EC1AC4" w:rsidP="00AD6527">
            <w:pPr>
              <w:spacing w:before="0" w:after="0" w:line="240" w:lineRule="auto"/>
              <w:ind w:right="83"/>
              <w:rPr>
                <w:rFonts w:cs="Calibri"/>
                <w:b/>
              </w:rPr>
            </w:pPr>
            <w:r w:rsidRPr="00C969A2">
              <w:rPr>
                <w:rFonts w:cs="Calibri"/>
                <w:b/>
              </w:rPr>
              <w:t>Décès d'un arrière-grand-parent du salarié ou de son conjoint **</w:t>
            </w:r>
          </w:p>
        </w:tc>
        <w:tc>
          <w:tcPr>
            <w:tcW w:w="2263" w:type="dxa"/>
            <w:shd w:val="clear" w:color="auto" w:fill="E2EFD9"/>
          </w:tcPr>
          <w:p w:rsidR="00EC1AC4" w:rsidRPr="00C969A2" w:rsidRDefault="00EC1AC4" w:rsidP="00AD6527">
            <w:pPr>
              <w:spacing w:before="0" w:after="0" w:line="240" w:lineRule="auto"/>
              <w:ind w:right="83"/>
              <w:rPr>
                <w:rFonts w:cs="Calibri"/>
                <w:b/>
                <w:color w:val="538135"/>
              </w:rPr>
            </w:pPr>
            <w:r w:rsidRPr="00C969A2">
              <w:rPr>
                <w:rFonts w:cs="Calibri"/>
                <w:b/>
                <w:color w:val="538135"/>
              </w:rPr>
              <w:t>1 jour</w:t>
            </w:r>
          </w:p>
        </w:tc>
      </w:tr>
      <w:tr w:rsidR="00EC1AC4" w:rsidRPr="00C969A2" w:rsidTr="00AD6527">
        <w:trPr>
          <w:trHeight w:val="246"/>
        </w:trPr>
        <w:tc>
          <w:tcPr>
            <w:tcW w:w="5741" w:type="dxa"/>
            <w:shd w:val="clear" w:color="auto" w:fill="E2EFD9"/>
          </w:tcPr>
          <w:p w:rsidR="00EC1AC4" w:rsidRPr="00C969A2" w:rsidRDefault="00EC1AC4" w:rsidP="00AD6527">
            <w:pPr>
              <w:spacing w:before="0" w:after="0" w:line="240" w:lineRule="auto"/>
              <w:ind w:right="83"/>
              <w:rPr>
                <w:rFonts w:cs="Calibri"/>
                <w:b/>
              </w:rPr>
            </w:pPr>
            <w:r w:rsidRPr="00C969A2">
              <w:rPr>
                <w:rFonts w:cs="Calibri"/>
                <w:b/>
              </w:rPr>
              <w:t xml:space="preserve">Décès d'un proche </w:t>
            </w:r>
            <w:r>
              <w:rPr>
                <w:rFonts w:cs="Calibri"/>
                <w:b/>
              </w:rPr>
              <w:t>(</w:t>
            </w:r>
            <w:r w:rsidRPr="00411DCE">
              <w:rPr>
                <w:rFonts w:cs="Calibri"/>
                <w:sz w:val="16"/>
              </w:rPr>
              <w:t>beau-frère, belle-sœur, gendre, belle-fille</w:t>
            </w:r>
            <w:r>
              <w:rPr>
                <w:rFonts w:cs="Calibri"/>
                <w:sz w:val="16"/>
              </w:rPr>
              <w:t>...</w:t>
            </w:r>
            <w:r>
              <w:rPr>
                <w:rFonts w:cs="Calibri"/>
                <w:b/>
              </w:rPr>
              <w:t>)</w:t>
            </w:r>
            <w:r w:rsidRPr="00C969A2">
              <w:rPr>
                <w:rFonts w:cs="Calibri"/>
                <w:b/>
              </w:rPr>
              <w:t xml:space="preserve"> **</w:t>
            </w:r>
          </w:p>
        </w:tc>
        <w:tc>
          <w:tcPr>
            <w:tcW w:w="2263" w:type="dxa"/>
            <w:shd w:val="clear" w:color="auto" w:fill="E2EFD9"/>
          </w:tcPr>
          <w:p w:rsidR="00EC1AC4" w:rsidRPr="00C969A2" w:rsidRDefault="00EC1AC4" w:rsidP="00AD6527">
            <w:pPr>
              <w:spacing w:before="0" w:after="0" w:line="240" w:lineRule="auto"/>
              <w:ind w:right="83"/>
              <w:rPr>
                <w:rFonts w:cs="Calibri"/>
                <w:b/>
                <w:color w:val="538135"/>
              </w:rPr>
            </w:pPr>
            <w:r w:rsidRPr="00C969A2">
              <w:rPr>
                <w:rFonts w:cs="Calibri"/>
                <w:b/>
                <w:color w:val="538135"/>
              </w:rPr>
              <w:t>1 jour</w:t>
            </w:r>
          </w:p>
        </w:tc>
      </w:tr>
      <w:tr w:rsidR="00EC1AC4" w:rsidRPr="00C969A2" w:rsidTr="00AD6527">
        <w:trPr>
          <w:trHeight w:val="236"/>
        </w:trPr>
        <w:tc>
          <w:tcPr>
            <w:tcW w:w="5741" w:type="dxa"/>
            <w:shd w:val="clear" w:color="auto" w:fill="DBDBDB"/>
          </w:tcPr>
          <w:p w:rsidR="00EC1AC4" w:rsidRPr="00C969A2" w:rsidRDefault="00EC1AC4" w:rsidP="00AD6527">
            <w:pPr>
              <w:pStyle w:val="Paragraphedeliste"/>
              <w:spacing w:before="0" w:after="0" w:line="240" w:lineRule="auto"/>
              <w:ind w:left="408" w:right="83"/>
              <w:rPr>
                <w:rFonts w:cs="Calibri"/>
                <w:b/>
              </w:rPr>
            </w:pPr>
            <w:r w:rsidRPr="00C969A2">
              <w:rPr>
                <w:rFonts w:cs="Calibri"/>
                <w:b/>
              </w:rPr>
              <w:t>**   à plus de 300km de trajet</w:t>
            </w:r>
          </w:p>
        </w:tc>
        <w:tc>
          <w:tcPr>
            <w:tcW w:w="2263" w:type="dxa"/>
            <w:shd w:val="clear" w:color="auto" w:fill="DBDBDB"/>
          </w:tcPr>
          <w:p w:rsidR="00EC1AC4" w:rsidRPr="00C969A2" w:rsidRDefault="00EC1AC4" w:rsidP="00AD6527">
            <w:pPr>
              <w:spacing w:before="0" w:after="0" w:line="240" w:lineRule="auto"/>
              <w:ind w:right="83"/>
              <w:rPr>
                <w:rFonts w:cs="Calibri"/>
                <w:b/>
                <w:color w:val="538135"/>
              </w:rPr>
            </w:pPr>
            <w:r w:rsidRPr="00C969A2">
              <w:rPr>
                <w:rFonts w:cs="Calibri"/>
                <w:b/>
                <w:color w:val="538135"/>
              </w:rPr>
              <w:t xml:space="preserve">+ 1 jour </w:t>
            </w:r>
          </w:p>
        </w:tc>
      </w:tr>
      <w:tr w:rsidR="00EC1AC4" w:rsidRPr="00C969A2" w:rsidTr="00AD6527">
        <w:trPr>
          <w:trHeight w:val="236"/>
        </w:trPr>
        <w:tc>
          <w:tcPr>
            <w:tcW w:w="5741" w:type="dxa"/>
            <w:shd w:val="clear" w:color="auto" w:fill="DBDBDB"/>
          </w:tcPr>
          <w:p w:rsidR="00EC1AC4" w:rsidRPr="00C969A2" w:rsidRDefault="00EC1AC4" w:rsidP="00AD6527">
            <w:pPr>
              <w:pStyle w:val="Paragraphedeliste"/>
              <w:spacing w:before="0" w:after="0" w:line="240" w:lineRule="auto"/>
              <w:ind w:left="0" w:right="83"/>
              <w:rPr>
                <w:rFonts w:cs="Calibri"/>
                <w:b/>
              </w:rPr>
            </w:pPr>
            <w:r w:rsidRPr="00C969A2">
              <w:rPr>
                <w:rFonts w:cs="Calibri"/>
                <w:b/>
              </w:rPr>
              <w:t>Le jour de l’évènement</w:t>
            </w:r>
          </w:p>
        </w:tc>
        <w:tc>
          <w:tcPr>
            <w:tcW w:w="2263" w:type="dxa"/>
            <w:shd w:val="clear" w:color="auto" w:fill="DBDBDB"/>
          </w:tcPr>
          <w:p w:rsidR="00EC1AC4" w:rsidRPr="00C969A2" w:rsidRDefault="00EC1AC4" w:rsidP="00AD6527">
            <w:pPr>
              <w:spacing w:before="0" w:after="0" w:line="240" w:lineRule="auto"/>
              <w:ind w:right="83"/>
              <w:rPr>
                <w:rFonts w:cs="Calibri"/>
                <w:b/>
              </w:rPr>
            </w:pPr>
            <w:r w:rsidRPr="00C969A2">
              <w:rPr>
                <w:rFonts w:cs="Calibri"/>
                <w:b/>
              </w:rPr>
              <w:t xml:space="preserve"> Le jour même en plus</w:t>
            </w:r>
          </w:p>
        </w:tc>
      </w:tr>
    </w:tbl>
    <w:p w:rsidR="00EC1AC4" w:rsidRPr="005E7F8B" w:rsidRDefault="00AD6527" w:rsidP="00EC1AC4">
      <w:pPr>
        <w:ind w:right="14"/>
        <w:rPr>
          <w:rFonts w:ascii="Tahoma" w:hAnsi="Tahoma" w:cs="Tahoma"/>
        </w:rPr>
      </w:pPr>
      <w:r>
        <w:rPr>
          <w:rFonts w:ascii="Tahoma" w:hAnsi="Tahoma" w:cs="Tahoma"/>
          <w:noProof/>
        </w:rPr>
        <w:drawing>
          <wp:anchor distT="0" distB="0" distL="114300" distR="114300" simplePos="0" relativeHeight="251678720" behindDoc="1" locked="0" layoutInCell="0" allowOverlap="1">
            <wp:simplePos x="0" y="0"/>
            <wp:positionH relativeFrom="page">
              <wp:posOffset>3904615</wp:posOffset>
            </wp:positionH>
            <wp:positionV relativeFrom="paragraph">
              <wp:posOffset>549063</wp:posOffset>
            </wp:positionV>
            <wp:extent cx="4213860" cy="2731770"/>
            <wp:effectExtent l="0" t="0" r="0" b="0"/>
            <wp:wrapNone/>
            <wp:docPr id="4" name="Image 4" descr="sond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dage"/>
                    <pic:cNvPicPr>
                      <a:picLocks noChangeAspect="1" noChangeArrowheads="1"/>
                    </pic:cNvPicPr>
                  </pic:nvPicPr>
                  <pic:blipFill>
                    <a:blip r:embed="rId14">
                      <a:extLst>
                        <a:ext uri="{28A0092B-C50C-407E-A947-70E740481C1C}">
                          <a14:useLocalDpi xmlns:a14="http://schemas.microsoft.com/office/drawing/2010/main" val="0"/>
                        </a:ext>
                      </a:extLst>
                    </a:blip>
                    <a:srcRect l="19611" t="1772" r="11926" b="253"/>
                    <a:stretch>
                      <a:fillRect/>
                    </a:stretch>
                  </pic:blipFill>
                  <pic:spPr bwMode="auto">
                    <a:xfrm>
                      <a:off x="0" y="0"/>
                      <a:ext cx="421386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F8B">
        <w:rPr>
          <w:rFonts w:ascii="Tahoma" w:hAnsi="Tahoma" w:cs="Tahoma"/>
        </w:rPr>
        <w:t>L’accord d’entreprise « Équilibre Travail Vie Privée » signé par FO améliore mais font partie des acquis inscrits dans les conventions collectives : les droits à congé pour événements familiaux inscrits dans les conventions Territoriale pour les ouvriers et ATAM, Nationale pour les ingénieurs et collectives, qui elles-mêmes améliorent les droits à congé inscrits dans cadres.</w:t>
      </w:r>
    </w:p>
    <w:p w:rsidR="00EC1AC4" w:rsidRDefault="00EC1AC4" w:rsidP="00EC1AC4">
      <w:pPr>
        <w:rPr>
          <w:rFonts w:ascii="Tahoma" w:eastAsia="Verdana" w:hAnsi="Tahoma" w:cs="Tahoma"/>
          <w:b/>
          <w:u w:val="single" w:color="000000"/>
        </w:rPr>
      </w:pPr>
    </w:p>
    <w:p w:rsidR="00EC1AC4" w:rsidRDefault="00EC1AC4" w:rsidP="00EC1AC4">
      <w:pPr>
        <w:rPr>
          <w:rFonts w:ascii="Tahoma" w:eastAsia="Verdana" w:hAnsi="Tahoma" w:cs="Tahoma"/>
          <w:b/>
          <w:u w:val="single" w:color="000000"/>
        </w:rPr>
      </w:pPr>
    </w:p>
    <w:p w:rsidR="00EC1AC4" w:rsidRDefault="00EC1AC4" w:rsidP="00EC1AC4">
      <w:pPr>
        <w:rPr>
          <w:rFonts w:ascii="Tahoma" w:eastAsia="Verdana" w:hAnsi="Tahoma" w:cs="Tahoma"/>
          <w:b/>
          <w:u w:val="single" w:color="000000"/>
        </w:rPr>
      </w:pPr>
    </w:p>
    <w:p w:rsidR="00EC1AC4" w:rsidRDefault="00EC1AC4" w:rsidP="00EC1AC4">
      <w:pPr>
        <w:rPr>
          <w:rFonts w:ascii="Tahoma" w:eastAsia="Verdana" w:hAnsi="Tahoma" w:cs="Tahoma"/>
          <w:b/>
          <w:u w:val="single" w:color="000000"/>
        </w:rPr>
      </w:pPr>
    </w:p>
    <w:p w:rsidR="00EC1AC4" w:rsidRDefault="00EC1AC4" w:rsidP="00EC1AC4">
      <w:pPr>
        <w:rPr>
          <w:rFonts w:ascii="Tahoma" w:eastAsia="Verdana" w:hAnsi="Tahoma" w:cs="Tahoma"/>
          <w:b/>
          <w:u w:val="single" w:color="000000"/>
        </w:rPr>
      </w:pPr>
    </w:p>
    <w:p w:rsidR="00EC1AC4" w:rsidRDefault="00EC1AC4" w:rsidP="00EC1AC4">
      <w:pPr>
        <w:rPr>
          <w:rFonts w:ascii="Tahoma" w:eastAsia="Verdana" w:hAnsi="Tahoma" w:cs="Tahoma"/>
          <w:b/>
          <w:u w:val="single" w:color="000000"/>
        </w:rPr>
      </w:pPr>
    </w:p>
    <w:p w:rsidR="00EC1AC4" w:rsidRDefault="00EC1AC4" w:rsidP="00EC1AC4">
      <w:pPr>
        <w:rPr>
          <w:rFonts w:ascii="Tahoma" w:eastAsia="Verdana" w:hAnsi="Tahoma" w:cs="Tahoma"/>
          <w:b/>
          <w:u w:val="single" w:color="000000"/>
        </w:rPr>
      </w:pPr>
    </w:p>
    <w:p w:rsidR="00713906" w:rsidRDefault="00713906" w:rsidP="00D23E66">
      <w:pPr>
        <w:tabs>
          <w:tab w:val="right" w:pos="16320"/>
        </w:tabs>
        <w:spacing w:after="47"/>
        <w:rPr>
          <w:rFonts w:ascii="Tahoma" w:eastAsia="Verdana" w:hAnsi="Tahoma" w:cs="Tahoma"/>
          <w:b/>
          <w:u w:val="single" w:color="000000"/>
        </w:rPr>
      </w:pPr>
    </w:p>
    <w:p w:rsidR="00713906" w:rsidRPr="005E7F8B" w:rsidRDefault="00713906" w:rsidP="00713906">
      <w:pPr>
        <w:pStyle w:val="Titre2"/>
      </w:pPr>
      <w:bookmarkStart w:id="6" w:name="_Toc6241672"/>
      <w:r w:rsidRPr="005E7F8B">
        <w:t>Les Congés pour la Médaille du Travail</w:t>
      </w:r>
      <w:bookmarkEnd w:id="6"/>
    </w:p>
    <w:p w:rsidR="00713906" w:rsidRPr="005E7F8B" w:rsidRDefault="00713906" w:rsidP="00713906">
      <w:pPr>
        <w:rPr>
          <w:rFonts w:ascii="Tahoma" w:hAnsi="Tahoma" w:cs="Tahoma"/>
        </w:rPr>
      </w:pPr>
      <w:r w:rsidRPr="005E7F8B">
        <w:rPr>
          <w:rFonts w:ascii="Tahoma" w:hAnsi="Tahoma" w:cs="Tahoma"/>
        </w:rPr>
        <w:t xml:space="preserve">Il est accordé </w:t>
      </w:r>
      <w:r w:rsidRPr="00713906">
        <w:rPr>
          <w:rFonts w:ascii="Tahoma" w:hAnsi="Tahoma" w:cs="Tahoma"/>
        </w:rPr>
        <w:t>une journée de congé aux salariés qui reçoivent une médaille d’honneur du travail</w:t>
      </w:r>
      <w:r w:rsidRPr="005E7F8B">
        <w:rPr>
          <w:rFonts w:ascii="Tahoma" w:hAnsi="Tahoma" w:cs="Tahoma"/>
        </w:rPr>
        <w:t xml:space="preserve"> (15 ans, 20 ans, 30 ans, 35 ans et 40 ans).</w:t>
      </w:r>
      <w:r w:rsidRPr="00713906">
        <w:rPr>
          <w:rFonts w:ascii="Tahoma" w:hAnsi="Tahoma" w:cs="Tahoma"/>
        </w:rPr>
        <w:t>Il tient d’une note interne appliquer UNIQUEMENT à l’entreprise</w:t>
      </w:r>
      <w:r>
        <w:rPr>
          <w:rFonts w:ascii="Tahoma" w:hAnsi="Tahoma" w:cs="Tahoma"/>
        </w:rPr>
        <w:t xml:space="preserve"> ainsi qu’une prime négocié chez ASLTOM GRID qui est maintenue lors de notre Transfert à ALSTOM TRANSPORT SA.</w:t>
      </w:r>
    </w:p>
    <w:p w:rsidR="00EC1AC4" w:rsidRDefault="00713906" w:rsidP="00EC1AC4">
      <w:pPr>
        <w:rPr>
          <w:rFonts w:ascii="Tahoma" w:hAnsi="Tahoma" w:cs="Tahoma"/>
        </w:rPr>
      </w:pPr>
      <w:r w:rsidRPr="005E7F8B">
        <w:rPr>
          <w:rFonts w:ascii="Tahoma" w:hAnsi="Tahoma" w:cs="Tahoma"/>
        </w:rPr>
        <w:t xml:space="preserve">Cette journée est indiquée dans le compteur du Compte Epargne Temps (dans Tempus). Cette journée est à prendre à compter du 1er juin de l’année en question jusqu’au 31 mai de l’année suivante. Cette journée est attribuée à l'ensemble des médaillés (Bronze et Médailles d'Honneur du Travail) quel que soit l'échelon. En cas de cumul de médailles sur une même année, 1 seul jour de Congé Médaille est accordé. </w:t>
      </w:r>
    </w:p>
    <w:p w:rsidR="00EC1AC4" w:rsidRDefault="00EC1AC4" w:rsidP="00EC1AC4">
      <w:pPr>
        <w:rPr>
          <w:rFonts w:ascii="Tahoma" w:hAnsi="Tahoma" w:cs="Tahoma"/>
        </w:rPr>
      </w:pPr>
      <w:r>
        <w:rPr>
          <w:rFonts w:ascii="Tahoma" w:hAnsi="Tahoma" w:cs="Tahoma"/>
          <w:noProof/>
        </w:rPr>
        <w:drawing>
          <wp:anchor distT="0" distB="0" distL="114300" distR="114300" simplePos="0" relativeHeight="251702272" behindDoc="1" locked="0" layoutInCell="1" allowOverlap="1" wp14:anchorId="69911A81" wp14:editId="7EB2B9F3">
            <wp:simplePos x="0" y="0"/>
            <wp:positionH relativeFrom="column">
              <wp:posOffset>4641619</wp:posOffset>
            </wp:positionH>
            <wp:positionV relativeFrom="paragraph">
              <wp:posOffset>316981</wp:posOffset>
            </wp:positionV>
            <wp:extent cx="2019300" cy="1699260"/>
            <wp:effectExtent l="0" t="0" r="0" b="0"/>
            <wp:wrapTight wrapText="bothSides">
              <wp:wrapPolygon edited="0">
                <wp:start x="0" y="0"/>
                <wp:lineTo x="0" y="21309"/>
                <wp:lineTo x="21396" y="21309"/>
                <wp:lineTo x="21396" y="0"/>
                <wp:lineTo x="0" y="0"/>
              </wp:wrapPolygon>
            </wp:wrapTight>
            <wp:docPr id="12" name="Image 12" descr="th7UH211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7UH211K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F8B">
        <w:rPr>
          <w:rFonts w:ascii="Tahoma" w:hAnsi="Tahoma" w:cs="Tahoma"/>
        </w:rPr>
        <w:t>Période d'utilisation : du 1er janvier au 31 décembre de l'année de la remise de la médaille. Si cette journée n’est pas utilisée sur l'année civile, elle bascule automatiquement dans le CET2.</w:t>
      </w:r>
    </w:p>
    <w:p w:rsidR="00EC1AC4" w:rsidRDefault="00EC1AC4" w:rsidP="00EC1AC4">
      <w:pPr>
        <w:rPr>
          <w:rFonts w:ascii="Tahoma" w:hAnsi="Tahoma" w:cs="Tahoma"/>
        </w:rPr>
      </w:pPr>
      <w:r>
        <w:rPr>
          <w:rFonts w:ascii="Tahoma" w:hAnsi="Tahoma" w:cs="Tahoma"/>
        </w:rPr>
        <w:t xml:space="preserve">Valeur des primes pour les médailles : </w:t>
      </w:r>
    </w:p>
    <w:tbl>
      <w:tblPr>
        <w:tblW w:w="0" w:type="auto"/>
        <w:tblCellMar>
          <w:left w:w="0" w:type="dxa"/>
          <w:right w:w="0" w:type="dxa"/>
        </w:tblCellMar>
        <w:tblLook w:val="04A0" w:firstRow="1" w:lastRow="0" w:firstColumn="1" w:lastColumn="0" w:noHBand="0" w:noVBand="1"/>
      </w:tblPr>
      <w:tblGrid>
        <w:gridCol w:w="4229"/>
        <w:gridCol w:w="2115"/>
      </w:tblGrid>
      <w:tr w:rsidR="00EC1AC4" w:rsidTr="00642DA9">
        <w:trPr>
          <w:trHeight w:val="312"/>
        </w:trPr>
        <w:tc>
          <w:tcPr>
            <w:tcW w:w="4229"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tcPr>
          <w:p w:rsidR="00EC1AC4" w:rsidRPr="001B6374" w:rsidRDefault="00EC1AC4" w:rsidP="00642DA9">
            <w:pPr>
              <w:spacing w:before="0" w:after="0"/>
              <w:jc w:val="center"/>
              <w:rPr>
                <w:rFonts w:cs="Calibri"/>
                <w:b/>
              </w:rPr>
            </w:pPr>
            <w:r w:rsidRPr="001B6374">
              <w:rPr>
                <w:rFonts w:cs="Calibri"/>
                <w:b/>
              </w:rPr>
              <w:t>Prime de la médaille du Travail</w:t>
            </w:r>
          </w:p>
        </w:tc>
        <w:tc>
          <w:tcPr>
            <w:tcW w:w="2115"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tcPr>
          <w:p w:rsidR="00EC1AC4" w:rsidRPr="00D357EF" w:rsidRDefault="00EC1AC4" w:rsidP="00642DA9">
            <w:pPr>
              <w:spacing w:before="0" w:after="0"/>
              <w:jc w:val="center"/>
              <w:rPr>
                <w:rFonts w:cs="Calibri"/>
                <w:b/>
              </w:rPr>
            </w:pPr>
            <w:r w:rsidRPr="00D357EF">
              <w:rPr>
                <w:rFonts w:cs="Calibri"/>
                <w:b/>
              </w:rPr>
              <w:t xml:space="preserve">PTQ </w:t>
            </w:r>
          </w:p>
        </w:tc>
      </w:tr>
      <w:tr w:rsidR="00EC1AC4" w:rsidTr="00642DA9">
        <w:trPr>
          <w:trHeight w:val="312"/>
        </w:trPr>
        <w:tc>
          <w:tcPr>
            <w:tcW w:w="4229" w:type="dxa"/>
            <w:vMerge w:val="restart"/>
            <w:tcBorders>
              <w:top w:val="single" w:sz="8" w:space="0" w:color="auto"/>
              <w:left w:val="single" w:sz="8" w:space="0" w:color="auto"/>
              <w:right w:val="single" w:sz="8" w:space="0" w:color="auto"/>
            </w:tcBorders>
            <w:shd w:val="clear" w:color="auto" w:fill="DEEAF6"/>
            <w:tcMar>
              <w:top w:w="0" w:type="dxa"/>
              <w:left w:w="108" w:type="dxa"/>
              <w:bottom w:w="0" w:type="dxa"/>
              <w:right w:w="108" w:type="dxa"/>
            </w:tcMar>
            <w:hideMark/>
          </w:tcPr>
          <w:p w:rsidR="00EC1AC4" w:rsidRPr="00026BA6" w:rsidRDefault="00EC1AC4" w:rsidP="00642DA9">
            <w:pPr>
              <w:spacing w:before="0" w:after="0"/>
              <w:jc w:val="center"/>
              <w:rPr>
                <w:rFonts w:cs="Calibri"/>
                <w:b/>
                <w:sz w:val="22"/>
                <w:szCs w:val="22"/>
              </w:rPr>
            </w:pPr>
            <w:r w:rsidRPr="00026BA6">
              <w:rPr>
                <w:rFonts w:cs="Calibri"/>
                <w:b/>
              </w:rPr>
              <w:t>ARGENT</w:t>
            </w:r>
          </w:p>
          <w:p w:rsidR="00EC1AC4" w:rsidRPr="00026BA6" w:rsidRDefault="00EC1AC4" w:rsidP="00642DA9">
            <w:pPr>
              <w:spacing w:before="0" w:after="0"/>
              <w:jc w:val="center"/>
              <w:rPr>
                <w:rFonts w:cs="Calibri"/>
                <w:b/>
              </w:rPr>
            </w:pPr>
            <w:r w:rsidRPr="00026BA6">
              <w:rPr>
                <w:rFonts w:cs="Calibri"/>
                <w:b/>
              </w:rPr>
              <w:t>VERMEIL</w:t>
            </w:r>
          </w:p>
          <w:p w:rsidR="00EC1AC4" w:rsidRPr="00026BA6" w:rsidRDefault="00EC1AC4" w:rsidP="00642DA9">
            <w:pPr>
              <w:spacing w:before="0" w:after="0"/>
              <w:jc w:val="center"/>
              <w:rPr>
                <w:rFonts w:cs="Calibri"/>
                <w:b/>
              </w:rPr>
            </w:pPr>
            <w:r w:rsidRPr="00026BA6">
              <w:rPr>
                <w:rFonts w:cs="Calibri"/>
                <w:b/>
              </w:rPr>
              <w:t>OR</w:t>
            </w:r>
          </w:p>
          <w:p w:rsidR="00EC1AC4" w:rsidRDefault="00EC1AC4" w:rsidP="00642DA9">
            <w:pPr>
              <w:spacing w:before="0" w:after="0"/>
              <w:jc w:val="center"/>
              <w:rPr>
                <w:rFonts w:cs="Calibri"/>
              </w:rPr>
            </w:pPr>
            <w:r w:rsidRPr="00026BA6">
              <w:rPr>
                <w:rFonts w:cs="Calibri"/>
                <w:b/>
              </w:rPr>
              <w:t>GRAND OR</w:t>
            </w:r>
          </w:p>
        </w:tc>
        <w:tc>
          <w:tcPr>
            <w:tcW w:w="2115"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rsidR="00EC1AC4" w:rsidRPr="005770AD" w:rsidRDefault="00EC1AC4" w:rsidP="00642DA9">
            <w:pPr>
              <w:spacing w:before="0" w:after="0"/>
              <w:jc w:val="center"/>
              <w:rPr>
                <w:rFonts w:cs="Calibri"/>
                <w:b/>
                <w:color w:val="538135"/>
              </w:rPr>
            </w:pPr>
            <w:r w:rsidRPr="005770AD">
              <w:rPr>
                <w:rFonts w:cs="Calibri"/>
                <w:b/>
                <w:color w:val="538135"/>
              </w:rPr>
              <w:t>540€</w:t>
            </w:r>
          </w:p>
        </w:tc>
      </w:tr>
      <w:tr w:rsidR="00EC1AC4" w:rsidTr="00642DA9">
        <w:trPr>
          <w:trHeight w:val="288"/>
        </w:trPr>
        <w:tc>
          <w:tcPr>
            <w:tcW w:w="4229" w:type="dxa"/>
            <w:vMerge/>
            <w:tcBorders>
              <w:left w:val="single" w:sz="8" w:space="0" w:color="auto"/>
              <w:right w:val="single" w:sz="8" w:space="0" w:color="auto"/>
            </w:tcBorders>
            <w:shd w:val="clear" w:color="auto" w:fill="DEEAF6"/>
            <w:tcMar>
              <w:top w:w="0" w:type="dxa"/>
              <w:left w:w="108" w:type="dxa"/>
              <w:bottom w:w="0" w:type="dxa"/>
              <w:right w:w="108" w:type="dxa"/>
            </w:tcMar>
            <w:hideMark/>
          </w:tcPr>
          <w:p w:rsidR="00EC1AC4" w:rsidRDefault="00EC1AC4" w:rsidP="00642DA9">
            <w:pPr>
              <w:spacing w:before="0" w:after="0"/>
              <w:rPr>
                <w:rFonts w:cs="Calibri"/>
              </w:rPr>
            </w:pPr>
          </w:p>
        </w:tc>
        <w:tc>
          <w:tcPr>
            <w:tcW w:w="211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rsidR="00EC1AC4" w:rsidRPr="005770AD" w:rsidRDefault="00EC1AC4" w:rsidP="00642DA9">
            <w:pPr>
              <w:spacing w:before="0" w:after="0"/>
              <w:jc w:val="center"/>
              <w:rPr>
                <w:rFonts w:cs="Calibri"/>
                <w:b/>
                <w:color w:val="538135"/>
              </w:rPr>
            </w:pPr>
            <w:r w:rsidRPr="005770AD">
              <w:rPr>
                <w:rFonts w:cs="Calibri"/>
                <w:b/>
                <w:color w:val="538135"/>
              </w:rPr>
              <w:t>1060€</w:t>
            </w:r>
          </w:p>
        </w:tc>
      </w:tr>
      <w:tr w:rsidR="00EC1AC4" w:rsidTr="00642DA9">
        <w:trPr>
          <w:trHeight w:val="312"/>
        </w:trPr>
        <w:tc>
          <w:tcPr>
            <w:tcW w:w="4229" w:type="dxa"/>
            <w:vMerge/>
            <w:tcBorders>
              <w:left w:val="single" w:sz="8" w:space="0" w:color="auto"/>
              <w:right w:val="single" w:sz="8" w:space="0" w:color="auto"/>
            </w:tcBorders>
            <w:shd w:val="clear" w:color="auto" w:fill="DEEAF6"/>
            <w:tcMar>
              <w:top w:w="0" w:type="dxa"/>
              <w:left w:w="108" w:type="dxa"/>
              <w:bottom w:w="0" w:type="dxa"/>
              <w:right w:w="108" w:type="dxa"/>
            </w:tcMar>
            <w:hideMark/>
          </w:tcPr>
          <w:p w:rsidR="00EC1AC4" w:rsidRDefault="00EC1AC4" w:rsidP="00642DA9">
            <w:pPr>
              <w:spacing w:before="0" w:after="0"/>
              <w:rPr>
                <w:rFonts w:cs="Calibri"/>
              </w:rPr>
            </w:pPr>
          </w:p>
        </w:tc>
        <w:tc>
          <w:tcPr>
            <w:tcW w:w="211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rsidR="00EC1AC4" w:rsidRPr="005770AD" w:rsidRDefault="00EC1AC4" w:rsidP="00642DA9">
            <w:pPr>
              <w:spacing w:before="0" w:after="0"/>
              <w:jc w:val="center"/>
              <w:rPr>
                <w:rFonts w:cs="Calibri"/>
                <w:b/>
                <w:color w:val="538135"/>
              </w:rPr>
            </w:pPr>
            <w:r w:rsidRPr="005770AD">
              <w:rPr>
                <w:rFonts w:cs="Calibri"/>
                <w:b/>
                <w:color w:val="538135"/>
              </w:rPr>
              <w:t>1165€</w:t>
            </w:r>
          </w:p>
        </w:tc>
      </w:tr>
      <w:tr w:rsidR="00EC1AC4" w:rsidTr="00642DA9">
        <w:trPr>
          <w:trHeight w:val="312"/>
        </w:trPr>
        <w:tc>
          <w:tcPr>
            <w:tcW w:w="4229" w:type="dxa"/>
            <w:vMerge/>
            <w:tcBorders>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rsidR="00EC1AC4" w:rsidRDefault="00EC1AC4" w:rsidP="00642DA9">
            <w:pPr>
              <w:spacing w:before="0" w:after="0"/>
              <w:rPr>
                <w:rFonts w:cs="Calibri"/>
              </w:rPr>
            </w:pPr>
          </w:p>
        </w:tc>
        <w:tc>
          <w:tcPr>
            <w:tcW w:w="2115"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rsidR="00EC1AC4" w:rsidRPr="005770AD" w:rsidRDefault="00EC1AC4" w:rsidP="00642DA9">
            <w:pPr>
              <w:spacing w:before="0" w:after="0"/>
              <w:jc w:val="center"/>
              <w:rPr>
                <w:rFonts w:cs="Calibri"/>
                <w:b/>
                <w:color w:val="538135"/>
              </w:rPr>
            </w:pPr>
            <w:r w:rsidRPr="005770AD">
              <w:rPr>
                <w:rFonts w:cs="Calibri"/>
                <w:b/>
                <w:color w:val="538135"/>
              </w:rPr>
              <w:t>1185€</w:t>
            </w:r>
          </w:p>
        </w:tc>
      </w:tr>
    </w:tbl>
    <w:p w:rsidR="00EC1AC4" w:rsidRDefault="00EC1AC4" w:rsidP="00EC1AC4">
      <w:pPr>
        <w:rPr>
          <w:rFonts w:ascii="Tahoma" w:hAnsi="Tahoma" w:cs="Tahoma"/>
        </w:rPr>
      </w:pPr>
    </w:p>
    <w:p w:rsidR="00AD6527" w:rsidRPr="005E7F8B" w:rsidRDefault="00AD6527" w:rsidP="00EC1AC4">
      <w:pPr>
        <w:rPr>
          <w:rFonts w:ascii="Tahoma" w:hAnsi="Tahoma" w:cs="Tahoma"/>
        </w:rPr>
      </w:pPr>
    </w:p>
    <w:p w:rsidR="00713906" w:rsidRPr="005E7F8B" w:rsidRDefault="00713906" w:rsidP="00713906">
      <w:pPr>
        <w:pStyle w:val="Titre1"/>
      </w:pPr>
      <w:bookmarkStart w:id="7" w:name="_Toc6241673"/>
      <w:r w:rsidRPr="005E7F8B">
        <w:rPr>
          <w:rFonts w:eastAsia="Verdana"/>
          <w:u w:color="000000"/>
        </w:rPr>
        <w:t>AUTRES CONGÉS &amp; AUTORISATIONS D'ABSENCES:</w:t>
      </w:r>
      <w:bookmarkEnd w:id="7"/>
      <w:r w:rsidRPr="005E7F8B">
        <w:t xml:space="preserve"> </w:t>
      </w:r>
    </w:p>
    <w:p w:rsidR="00713906" w:rsidRPr="00A312F3" w:rsidRDefault="00713906" w:rsidP="00A312F3">
      <w:pPr>
        <w:rPr>
          <w:rFonts w:ascii="Tahoma" w:hAnsi="Tahoma" w:cs="Tahoma"/>
          <w:b/>
        </w:rPr>
      </w:pPr>
      <w:r w:rsidRPr="005E7F8B">
        <w:rPr>
          <w:rFonts w:ascii="Tahoma" w:hAnsi="Tahoma" w:cs="Tahoma"/>
        </w:rPr>
        <w:t xml:space="preserve">Reprise progressive d’activité de retour du congé d’adoption, congé rémunéré de pré-adoption, congé de paternité, congé de maternité, congé parental d'éducation, congé pour enfant malade, congé de solidarité familiale, congé de soutien familial, Congé Individuel de Formation, congé sabbatique, absence pour activités judiciaires, absences pour </w:t>
      </w:r>
      <w:r w:rsidRPr="005E7F8B">
        <w:rPr>
          <w:rFonts w:ascii="Tahoma" w:hAnsi="Tahoma" w:cs="Tahoma"/>
        </w:rPr>
        <w:lastRenderedPageBreak/>
        <w:t>famille monoparentale, aménagements d’horaire et autorisation d’absences dans le cadre de la solidarité familiale, La R.P.A., etc. Pour tous ces congés et autorisations d'absence de nombreux dispositifs sont prévus par les textes légaux et les accords d'entreprise</w:t>
      </w:r>
      <w:r w:rsidRPr="005E7F8B">
        <w:rPr>
          <w:rFonts w:ascii="Tahoma" w:hAnsi="Tahoma" w:cs="Tahoma"/>
          <w:b/>
        </w:rPr>
        <w:t>...</w:t>
      </w:r>
    </w:p>
    <w:p w:rsidR="005D3A6D" w:rsidRPr="005E7F8B" w:rsidRDefault="005D3A6D" w:rsidP="00EC1AC4">
      <w:pPr>
        <w:pStyle w:val="Titre5"/>
      </w:pPr>
      <w:r w:rsidRPr="005E7F8B">
        <w:t>LE CONGÉ DE NAISSANCE</w:t>
      </w:r>
      <w:r w:rsidRPr="005E7F8B">
        <w:rPr>
          <w:rFonts w:eastAsia="Tahoma"/>
        </w:rPr>
        <w:t xml:space="preserve"> </w:t>
      </w:r>
    </w:p>
    <w:p w:rsidR="005D3A6D" w:rsidRPr="005E7F8B" w:rsidRDefault="005D3A6D" w:rsidP="005D3A6D">
      <w:pPr>
        <w:spacing w:after="46"/>
        <w:ind w:right="14"/>
        <w:rPr>
          <w:rFonts w:ascii="Tahoma" w:hAnsi="Tahoma" w:cs="Tahoma"/>
        </w:rPr>
      </w:pPr>
      <w:r w:rsidRPr="005E7F8B">
        <w:rPr>
          <w:rFonts w:ascii="Tahoma" w:hAnsi="Tahoma" w:cs="Tahoma"/>
        </w:rPr>
        <w:t xml:space="preserve">Après une année d’ancienneté à la date de naissance de son enfant, ou à la date d’arrivée de l’enfant adopté ou confié en vue de son adoption le/la salarié(e) </w:t>
      </w:r>
      <w:r w:rsidRPr="005D3A6D">
        <w:rPr>
          <w:rFonts w:ascii="Tahoma" w:hAnsi="Tahoma" w:cs="Tahoma"/>
        </w:rPr>
        <w:t>peut utiliser ses jours de CET qui seront abondés par la Société à hauteur de 100% (dans la limite de 20 jours). Ce congé a été annulé vue son coût revenant trop chère pour l’entreprise.</w:t>
      </w:r>
    </w:p>
    <w:p w:rsidR="005D3A6D" w:rsidRDefault="005D3A6D" w:rsidP="005D3A6D">
      <w:pPr>
        <w:spacing w:after="49"/>
        <w:ind w:right="76"/>
        <w:rPr>
          <w:rFonts w:ascii="Tahoma" w:hAnsi="Tahoma" w:cs="Tahoma"/>
        </w:rPr>
      </w:pPr>
      <w:r w:rsidRPr="005E7F8B">
        <w:rPr>
          <w:rFonts w:ascii="Tahoma" w:hAnsi="Tahoma" w:cs="Tahoma"/>
        </w:rPr>
        <w:t xml:space="preserve">Ce congé pourra être pris à la demande du salarié au plus tard jusqu’au sixième anniversaire de l’enfant. En cas d’adoption d’un enfant de moins de 6 ans cette possibilité est ouverte jusqu’à la fin de l’expiration d’un délai de 3 ans à compter de l’arrivée de l’enfant au foyer. </w:t>
      </w:r>
    </w:p>
    <w:p w:rsidR="00EC1AC4" w:rsidRPr="00E26E51" w:rsidRDefault="00EC1AC4" w:rsidP="00EC1AC4">
      <w:pPr>
        <w:pStyle w:val="Titre5"/>
        <w:rPr>
          <w:rFonts w:eastAsia="Times New Roman"/>
          <w:lang w:eastAsia="fr-FR"/>
        </w:rPr>
      </w:pPr>
      <w:r w:rsidRPr="00756BAC">
        <w:rPr>
          <w:rFonts w:eastAsia="Times New Roman"/>
          <w:lang w:eastAsia="fr-FR"/>
        </w:rPr>
        <w:t>Le congé maternité </w:t>
      </w:r>
      <w:r w:rsidRPr="00E26E51">
        <w:rPr>
          <w:rFonts w:eastAsia="Times New Roman"/>
          <w:lang w:eastAsia="fr-FR"/>
        </w:rPr>
        <w:t> </w:t>
      </w:r>
    </w:p>
    <w:p w:rsidR="00EC1AC4" w:rsidRPr="00E26E51" w:rsidRDefault="00EC1AC4" w:rsidP="00EC1AC4">
      <w:pPr>
        <w:spacing w:before="0" w:after="0" w:line="240" w:lineRule="auto"/>
        <w:jc w:val="both"/>
        <w:textAlignment w:val="baseline"/>
        <w:rPr>
          <w:rFonts w:ascii="&amp;quot" w:eastAsia="Times New Roman" w:hAnsi="&amp;quot" w:cs="Times New Roman"/>
          <w:color w:val="000000"/>
          <w:sz w:val="18"/>
          <w:szCs w:val="18"/>
          <w:lang w:eastAsia="fr-FR"/>
        </w:rPr>
      </w:pPr>
      <w:r w:rsidRPr="00E26E51">
        <w:rPr>
          <w:rFonts w:ascii="Arial" w:eastAsia="Times New Roman" w:hAnsi="Arial" w:cs="Arial"/>
          <w:color w:val="000000"/>
          <w:sz w:val="24"/>
          <w:szCs w:val="24"/>
          <w:lang w:eastAsia="fr-FR"/>
        </w:rPr>
        <w:t> </w:t>
      </w:r>
    </w:p>
    <w:p w:rsidR="00EC1AC4" w:rsidRPr="00EC1AC4" w:rsidRDefault="00EC1AC4" w:rsidP="00EC1AC4">
      <w:pPr>
        <w:spacing w:before="0" w:after="0" w:line="240" w:lineRule="auto"/>
        <w:jc w:val="both"/>
        <w:textAlignment w:val="baseline"/>
        <w:rPr>
          <w:rFonts w:ascii="&amp;quot" w:eastAsia="Times New Roman" w:hAnsi="&amp;quot" w:cs="Times New Roman"/>
          <w:color w:val="000000"/>
          <w:lang w:eastAsia="fr-FR"/>
        </w:rPr>
      </w:pPr>
      <w:r w:rsidRPr="00EC1AC4">
        <w:rPr>
          <w:rFonts w:ascii="Arial" w:eastAsia="Times New Roman" w:hAnsi="Arial" w:cs="Arial"/>
          <w:color w:val="000000"/>
          <w:lang w:eastAsia="fr-FR"/>
        </w:rPr>
        <w:t>Une femme enceinte en activité bénéficie du congé maternité, quelle que soit sa catégorie professionnelle </w:t>
      </w:r>
    </w:p>
    <w:p w:rsidR="00EC1AC4" w:rsidRPr="00EC1AC4" w:rsidRDefault="00EC1AC4" w:rsidP="00EC1AC4">
      <w:pPr>
        <w:spacing w:before="0" w:after="0" w:line="240" w:lineRule="auto"/>
        <w:jc w:val="both"/>
        <w:textAlignment w:val="baseline"/>
        <w:rPr>
          <w:rFonts w:ascii="&amp;quot" w:eastAsia="Times New Roman" w:hAnsi="&amp;quot" w:cs="Times New Roman"/>
          <w:color w:val="000000"/>
          <w:lang w:eastAsia="fr-FR"/>
        </w:rPr>
      </w:pPr>
      <w:r w:rsidRPr="00EC1AC4">
        <w:rPr>
          <w:rFonts w:ascii="Arial" w:eastAsia="Times New Roman" w:hAnsi="Arial" w:cs="Arial"/>
          <w:color w:val="000000"/>
          <w:lang w:eastAsia="fr-FR"/>
        </w:rPr>
        <w:t>Le congé comprend le congé prénatal (en fin de grossesse) et le congé postnatal (après l'accouchement). </w:t>
      </w:r>
    </w:p>
    <w:p w:rsidR="00EC1AC4" w:rsidRPr="00EC1AC4" w:rsidRDefault="00EC1AC4" w:rsidP="00EC1AC4">
      <w:pPr>
        <w:spacing w:before="0" w:after="0" w:line="240" w:lineRule="auto"/>
        <w:jc w:val="both"/>
        <w:textAlignment w:val="baseline"/>
        <w:rPr>
          <w:rFonts w:ascii="&amp;quot" w:eastAsia="Times New Roman" w:hAnsi="&amp;quot" w:cs="Times New Roman"/>
          <w:color w:val="000000"/>
          <w:lang w:eastAsia="fr-FR"/>
        </w:rPr>
      </w:pPr>
      <w:r w:rsidRPr="00EC1AC4">
        <w:rPr>
          <w:rFonts w:ascii="Arial" w:eastAsia="Times New Roman" w:hAnsi="Arial" w:cs="Arial"/>
          <w:color w:val="000000"/>
          <w:lang w:eastAsia="fr-FR"/>
        </w:rPr>
        <w:t>Pour en bénéficier, elle doit fournir un certificat de grossesse à son administration. </w:t>
      </w:r>
    </w:p>
    <w:p w:rsidR="00EC1AC4" w:rsidRPr="00EC1AC4" w:rsidRDefault="00EC1AC4" w:rsidP="00EC1AC4">
      <w:pPr>
        <w:spacing w:before="0" w:after="0" w:line="240" w:lineRule="auto"/>
        <w:jc w:val="both"/>
        <w:textAlignment w:val="baseline"/>
        <w:rPr>
          <w:rFonts w:ascii="&amp;quot" w:eastAsia="Times New Roman" w:hAnsi="&amp;quot" w:cs="Times New Roman"/>
          <w:color w:val="000000"/>
          <w:lang w:eastAsia="fr-FR"/>
        </w:rPr>
      </w:pPr>
      <w:r w:rsidRPr="00EC1AC4">
        <w:rPr>
          <w:rFonts w:ascii="Arial" w:eastAsia="Times New Roman" w:hAnsi="Arial" w:cs="Arial"/>
          <w:color w:val="000000"/>
          <w:lang w:eastAsia="fr-FR"/>
        </w:rPr>
        <w:t> </w:t>
      </w:r>
    </w:p>
    <w:p w:rsidR="00EC1AC4" w:rsidRPr="00EC1AC4" w:rsidRDefault="00EC1AC4" w:rsidP="00EC1AC4">
      <w:pPr>
        <w:spacing w:before="0" w:after="0" w:line="240" w:lineRule="auto"/>
        <w:jc w:val="both"/>
        <w:textAlignment w:val="baseline"/>
        <w:rPr>
          <w:rFonts w:ascii="&amp;quot" w:eastAsia="Times New Roman" w:hAnsi="&amp;quot" w:cs="Times New Roman"/>
          <w:color w:val="000000"/>
          <w:lang w:eastAsia="fr-FR"/>
        </w:rPr>
      </w:pPr>
      <w:r w:rsidRPr="00EC1AC4">
        <w:rPr>
          <w:rFonts w:ascii="Arial" w:eastAsia="Times New Roman" w:hAnsi="Arial" w:cs="Arial"/>
          <w:color w:val="000000"/>
          <w:lang w:eastAsia="fr-FR"/>
        </w:rPr>
        <w:t>L’employée peut, quelle que soit son ancienneté dans l’entreprise, suspendre son contrat de travail pendant une durée fixée comme indiqué dans le tableau suivant : </w:t>
      </w:r>
    </w:p>
    <w:p w:rsidR="00EC1AC4" w:rsidRPr="00E26E51" w:rsidRDefault="00EC1AC4" w:rsidP="00EC1AC4">
      <w:pPr>
        <w:spacing w:before="0" w:after="0" w:line="240" w:lineRule="auto"/>
        <w:jc w:val="both"/>
        <w:textAlignment w:val="baseline"/>
        <w:rPr>
          <w:rFonts w:ascii="&amp;quot" w:eastAsia="Times New Roman" w:hAnsi="&amp;quot" w:cs="Times New Roman"/>
          <w:color w:val="000000"/>
          <w:sz w:val="18"/>
          <w:szCs w:val="18"/>
          <w:lang w:eastAsia="fr-FR"/>
        </w:rPr>
      </w:pPr>
      <w:r w:rsidRPr="00E26E51">
        <w:rPr>
          <w:rFonts w:ascii="Arial" w:eastAsia="Times New Roman" w:hAnsi="Arial" w:cs="Arial"/>
          <w:color w:val="000000"/>
          <w:sz w:val="24"/>
          <w:szCs w:val="24"/>
          <w:lang w:eastAsia="fr-FR"/>
        </w:rPr>
        <w:t> </w:t>
      </w:r>
    </w:p>
    <w:tbl>
      <w:tblPr>
        <w:tblW w:w="10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3"/>
        <w:gridCol w:w="2472"/>
        <w:gridCol w:w="2790"/>
        <w:gridCol w:w="1765"/>
      </w:tblGrid>
      <w:tr w:rsidR="00C41E49" w:rsidRPr="00E26E51" w:rsidTr="004C3153">
        <w:trPr>
          <w:trHeight w:val="558"/>
        </w:trPr>
        <w:tc>
          <w:tcPr>
            <w:tcW w:w="3463" w:type="dxa"/>
            <w:tcBorders>
              <w:top w:val="nil"/>
              <w:left w:val="nil"/>
              <w:bottom w:val="single" w:sz="4" w:space="0" w:color="auto"/>
              <w:right w:val="single" w:sz="4" w:space="0" w:color="auto"/>
            </w:tcBorders>
            <w:shd w:val="clear" w:color="auto" w:fill="auto"/>
            <w:hideMark/>
          </w:tcPr>
          <w:p w:rsidR="00EC1AC4" w:rsidRPr="00E26E51" w:rsidRDefault="00EC1AC4" w:rsidP="00642DA9">
            <w:pPr>
              <w:spacing w:before="0" w:after="0" w:line="240" w:lineRule="auto"/>
              <w:jc w:val="both"/>
              <w:textAlignment w:val="baseline"/>
              <w:rPr>
                <w:rFonts w:ascii="Times New Roman" w:eastAsia="Times New Roman" w:hAnsi="Times New Roman" w:cs="Times New Roman"/>
                <w:color w:val="000000"/>
                <w:sz w:val="24"/>
                <w:szCs w:val="24"/>
                <w:lang w:eastAsia="fr-FR"/>
              </w:rPr>
            </w:pPr>
            <w:r w:rsidRPr="00E26E51">
              <w:rPr>
                <w:rFonts w:ascii="Arial" w:eastAsia="Times New Roman" w:hAnsi="Arial" w:cs="Arial"/>
                <w:color w:val="000000"/>
                <w:sz w:val="24"/>
                <w:szCs w:val="24"/>
                <w:lang w:eastAsia="fr-FR"/>
              </w:rPr>
              <w:t> </w:t>
            </w:r>
          </w:p>
        </w:tc>
        <w:tc>
          <w:tcPr>
            <w:tcW w:w="2472" w:type="dxa"/>
            <w:tcBorders>
              <w:top w:val="single" w:sz="6" w:space="0" w:color="000000"/>
              <w:left w:val="single" w:sz="4" w:space="0" w:color="auto"/>
              <w:bottom w:val="single" w:sz="6" w:space="0" w:color="000000"/>
              <w:right w:val="single" w:sz="6" w:space="0" w:color="000000"/>
            </w:tcBorders>
            <w:shd w:val="clear" w:color="auto" w:fill="92D050"/>
            <w:hideMark/>
          </w:tcPr>
          <w:p w:rsidR="00EC1AC4" w:rsidRPr="00A312F3" w:rsidRDefault="00EC1AC4" w:rsidP="00A312F3">
            <w:pPr>
              <w:pStyle w:val="Titre1"/>
              <w:jc w:val="center"/>
            </w:pPr>
            <w:bookmarkStart w:id="8" w:name="_Toc6241674"/>
            <w:r w:rsidRPr="00A312F3">
              <w:t>Avant l’accouchement</w:t>
            </w:r>
            <w:bookmarkEnd w:id="8"/>
          </w:p>
          <w:p w:rsidR="00EC1AC4" w:rsidRPr="00A312F3" w:rsidRDefault="00EC1AC4" w:rsidP="00A312F3">
            <w:pPr>
              <w:pStyle w:val="Titre1"/>
              <w:jc w:val="center"/>
            </w:pPr>
            <w:bookmarkStart w:id="9" w:name="_Toc6241675"/>
            <w:r w:rsidRPr="00A312F3">
              <w:t>(congé prénatal)</w:t>
            </w:r>
            <w:bookmarkEnd w:id="9"/>
          </w:p>
        </w:tc>
        <w:tc>
          <w:tcPr>
            <w:tcW w:w="2790" w:type="dxa"/>
            <w:tcBorders>
              <w:top w:val="single" w:sz="6" w:space="0" w:color="000000"/>
              <w:left w:val="nil"/>
              <w:bottom w:val="single" w:sz="6" w:space="0" w:color="000000"/>
              <w:right w:val="single" w:sz="6" w:space="0" w:color="000000"/>
            </w:tcBorders>
            <w:shd w:val="clear" w:color="auto" w:fill="92D050"/>
            <w:hideMark/>
          </w:tcPr>
          <w:p w:rsidR="00EC1AC4" w:rsidRPr="00A312F3" w:rsidRDefault="00EC1AC4" w:rsidP="00A312F3">
            <w:pPr>
              <w:pStyle w:val="Titre1"/>
              <w:jc w:val="center"/>
            </w:pPr>
            <w:bookmarkStart w:id="10" w:name="_Toc6241676"/>
            <w:r w:rsidRPr="00A312F3">
              <w:t>Après</w:t>
            </w:r>
            <w:bookmarkEnd w:id="10"/>
          </w:p>
          <w:p w:rsidR="00EC1AC4" w:rsidRPr="00A312F3" w:rsidRDefault="00EC1AC4" w:rsidP="00A312F3">
            <w:pPr>
              <w:pStyle w:val="Titre1"/>
              <w:jc w:val="center"/>
            </w:pPr>
            <w:bookmarkStart w:id="11" w:name="_Toc6241677"/>
            <w:r w:rsidRPr="00A312F3">
              <w:t>l’accouchement</w:t>
            </w:r>
            <w:bookmarkEnd w:id="11"/>
          </w:p>
          <w:p w:rsidR="00EC1AC4" w:rsidRPr="00A312F3" w:rsidRDefault="00EC1AC4" w:rsidP="00A312F3">
            <w:pPr>
              <w:pStyle w:val="Titre1"/>
              <w:jc w:val="center"/>
            </w:pPr>
            <w:bookmarkStart w:id="12" w:name="_Toc6241678"/>
            <w:r w:rsidRPr="00A312F3">
              <w:t>(congé postnatal)</w:t>
            </w:r>
            <w:bookmarkEnd w:id="12"/>
          </w:p>
        </w:tc>
        <w:tc>
          <w:tcPr>
            <w:tcW w:w="1765" w:type="dxa"/>
            <w:tcBorders>
              <w:top w:val="single" w:sz="6" w:space="0" w:color="000000"/>
              <w:left w:val="nil"/>
              <w:bottom w:val="single" w:sz="6" w:space="0" w:color="000000"/>
              <w:right w:val="single" w:sz="6" w:space="0" w:color="000000"/>
            </w:tcBorders>
            <w:shd w:val="clear" w:color="auto" w:fill="92D050"/>
            <w:hideMark/>
          </w:tcPr>
          <w:p w:rsidR="00EC1AC4" w:rsidRPr="00A312F3" w:rsidRDefault="00EC1AC4" w:rsidP="00A312F3">
            <w:pPr>
              <w:pStyle w:val="Titre1"/>
              <w:jc w:val="center"/>
            </w:pPr>
            <w:bookmarkStart w:id="13" w:name="_Toc6241679"/>
            <w:r w:rsidRPr="00A312F3">
              <w:t>Total</w:t>
            </w:r>
            <w:bookmarkEnd w:id="13"/>
          </w:p>
        </w:tc>
      </w:tr>
      <w:tr w:rsidR="00EC1AC4" w:rsidRPr="00E26E51" w:rsidTr="004C3153">
        <w:trPr>
          <w:trHeight w:val="377"/>
        </w:trPr>
        <w:tc>
          <w:tcPr>
            <w:tcW w:w="3463" w:type="dxa"/>
            <w:tcBorders>
              <w:top w:val="single" w:sz="4" w:space="0" w:color="auto"/>
              <w:left w:val="single" w:sz="6" w:space="0" w:color="000000"/>
              <w:bottom w:val="single" w:sz="6" w:space="0" w:color="000000"/>
              <w:right w:val="single" w:sz="6" w:space="0" w:color="000000"/>
            </w:tcBorders>
            <w:shd w:val="clear" w:color="auto" w:fill="92D050"/>
            <w:hideMark/>
          </w:tcPr>
          <w:p w:rsidR="00EC1AC4" w:rsidRPr="00E26E51" w:rsidRDefault="00EC1AC4" w:rsidP="00A312F3">
            <w:pPr>
              <w:pStyle w:val="Titre1"/>
              <w:rPr>
                <w:rFonts w:ascii="Times New Roman" w:eastAsia="Times New Roman" w:hAnsi="Times New Roman" w:cs="Times New Roman"/>
                <w:lang w:eastAsia="fr-FR"/>
              </w:rPr>
            </w:pPr>
            <w:bookmarkStart w:id="14" w:name="_Toc6241680"/>
            <w:r w:rsidRPr="00E26E51">
              <w:rPr>
                <w:rFonts w:eastAsia="Times New Roman"/>
                <w:lang w:eastAsia="fr-FR"/>
              </w:rPr>
              <w:t>1ère ou 2ème  naissance</w:t>
            </w:r>
            <w:bookmarkEnd w:id="14"/>
            <w:r w:rsidRPr="00E26E51">
              <w:rPr>
                <w:rFonts w:eastAsia="Times New Roman"/>
                <w:lang w:eastAsia="fr-FR"/>
              </w:rPr>
              <w:t> </w:t>
            </w:r>
          </w:p>
        </w:tc>
        <w:tc>
          <w:tcPr>
            <w:tcW w:w="2472"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6 semaines</w:t>
            </w:r>
          </w:p>
        </w:tc>
        <w:tc>
          <w:tcPr>
            <w:tcW w:w="2790"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10 semaines</w:t>
            </w:r>
          </w:p>
        </w:tc>
        <w:tc>
          <w:tcPr>
            <w:tcW w:w="1765"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16 semaines</w:t>
            </w:r>
          </w:p>
        </w:tc>
      </w:tr>
      <w:tr w:rsidR="00EC1AC4" w:rsidRPr="00E26E51" w:rsidTr="004C3153">
        <w:trPr>
          <w:trHeight w:val="368"/>
        </w:trPr>
        <w:tc>
          <w:tcPr>
            <w:tcW w:w="3463" w:type="dxa"/>
            <w:tcBorders>
              <w:top w:val="nil"/>
              <w:left w:val="single" w:sz="6" w:space="0" w:color="000000"/>
              <w:bottom w:val="single" w:sz="6" w:space="0" w:color="000000"/>
              <w:right w:val="single" w:sz="6" w:space="0" w:color="000000"/>
            </w:tcBorders>
            <w:shd w:val="clear" w:color="auto" w:fill="92D050"/>
            <w:hideMark/>
          </w:tcPr>
          <w:p w:rsidR="00EC1AC4" w:rsidRPr="00E26E51" w:rsidRDefault="00EC1AC4" w:rsidP="00A312F3">
            <w:pPr>
              <w:pStyle w:val="Titre1"/>
              <w:rPr>
                <w:rFonts w:ascii="Times New Roman" w:eastAsia="Times New Roman" w:hAnsi="Times New Roman" w:cs="Times New Roman"/>
                <w:lang w:eastAsia="fr-FR"/>
              </w:rPr>
            </w:pPr>
            <w:bookmarkStart w:id="15" w:name="_Toc6241681"/>
            <w:r w:rsidRPr="00E26E51">
              <w:rPr>
                <w:rFonts w:eastAsia="Times New Roman"/>
                <w:lang w:eastAsia="fr-FR"/>
              </w:rPr>
              <w:t>Cas général 3ème naissance</w:t>
            </w:r>
            <w:bookmarkEnd w:id="15"/>
            <w:r w:rsidRPr="00E26E51">
              <w:rPr>
                <w:rFonts w:eastAsia="Times New Roman"/>
                <w:lang w:eastAsia="fr-FR"/>
              </w:rPr>
              <w:t> </w:t>
            </w:r>
          </w:p>
        </w:tc>
        <w:tc>
          <w:tcPr>
            <w:tcW w:w="2472"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8 semaines</w:t>
            </w:r>
          </w:p>
        </w:tc>
        <w:tc>
          <w:tcPr>
            <w:tcW w:w="2790"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18 semaines</w:t>
            </w:r>
          </w:p>
        </w:tc>
        <w:tc>
          <w:tcPr>
            <w:tcW w:w="1765"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26 semaines</w:t>
            </w:r>
          </w:p>
        </w:tc>
      </w:tr>
      <w:tr w:rsidR="00EC1AC4" w:rsidRPr="00E26E51" w:rsidTr="004C3153">
        <w:trPr>
          <w:trHeight w:val="188"/>
        </w:trPr>
        <w:tc>
          <w:tcPr>
            <w:tcW w:w="3463" w:type="dxa"/>
            <w:tcBorders>
              <w:top w:val="nil"/>
              <w:left w:val="single" w:sz="6" w:space="0" w:color="000000"/>
              <w:bottom w:val="single" w:sz="6" w:space="0" w:color="000000"/>
              <w:right w:val="single" w:sz="6" w:space="0" w:color="000000"/>
            </w:tcBorders>
            <w:shd w:val="clear" w:color="auto" w:fill="92D050"/>
            <w:hideMark/>
          </w:tcPr>
          <w:p w:rsidR="00EC1AC4" w:rsidRPr="00E26E51" w:rsidRDefault="00EC1AC4" w:rsidP="00A312F3">
            <w:pPr>
              <w:pStyle w:val="Titre1"/>
              <w:rPr>
                <w:rFonts w:ascii="Times New Roman" w:eastAsia="Times New Roman" w:hAnsi="Times New Roman" w:cs="Times New Roman"/>
                <w:lang w:eastAsia="fr-FR"/>
              </w:rPr>
            </w:pPr>
            <w:bookmarkStart w:id="16" w:name="_Toc6241682"/>
            <w:r w:rsidRPr="00E26E51">
              <w:rPr>
                <w:rFonts w:eastAsia="Times New Roman"/>
                <w:lang w:eastAsia="fr-FR"/>
              </w:rPr>
              <w:t>Naissance de jumeaux</w:t>
            </w:r>
            <w:bookmarkEnd w:id="16"/>
            <w:r w:rsidRPr="00E26E51">
              <w:rPr>
                <w:rFonts w:eastAsia="Times New Roman"/>
                <w:lang w:eastAsia="fr-FR"/>
              </w:rPr>
              <w:t> </w:t>
            </w:r>
          </w:p>
        </w:tc>
        <w:tc>
          <w:tcPr>
            <w:tcW w:w="2472"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12 semaines</w:t>
            </w:r>
          </w:p>
        </w:tc>
        <w:tc>
          <w:tcPr>
            <w:tcW w:w="2790"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22 semaines</w:t>
            </w:r>
          </w:p>
        </w:tc>
        <w:tc>
          <w:tcPr>
            <w:tcW w:w="1765"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34 semaines</w:t>
            </w:r>
          </w:p>
        </w:tc>
      </w:tr>
      <w:tr w:rsidR="00EC1AC4" w:rsidRPr="00E26E51" w:rsidTr="004C3153">
        <w:trPr>
          <w:trHeight w:val="614"/>
        </w:trPr>
        <w:tc>
          <w:tcPr>
            <w:tcW w:w="3463" w:type="dxa"/>
            <w:tcBorders>
              <w:top w:val="nil"/>
              <w:left w:val="single" w:sz="6" w:space="0" w:color="000000"/>
              <w:bottom w:val="single" w:sz="6" w:space="0" w:color="000000"/>
              <w:right w:val="single" w:sz="6" w:space="0" w:color="000000"/>
            </w:tcBorders>
            <w:shd w:val="clear" w:color="auto" w:fill="92D050"/>
            <w:hideMark/>
          </w:tcPr>
          <w:p w:rsidR="00EC1AC4" w:rsidRPr="00E26E51" w:rsidRDefault="00EC1AC4" w:rsidP="00A312F3">
            <w:pPr>
              <w:pStyle w:val="Titre1"/>
              <w:rPr>
                <w:rFonts w:ascii="Times New Roman" w:eastAsia="Times New Roman" w:hAnsi="Times New Roman" w:cs="Times New Roman"/>
                <w:lang w:eastAsia="fr-FR"/>
              </w:rPr>
            </w:pPr>
            <w:bookmarkStart w:id="17" w:name="_Toc6241683"/>
            <w:r w:rsidRPr="00E26E51">
              <w:rPr>
                <w:rFonts w:eastAsia="Times New Roman"/>
                <w:lang w:eastAsia="fr-FR"/>
              </w:rPr>
              <w:t>Naissance simultanée de</w:t>
            </w:r>
            <w:bookmarkEnd w:id="17"/>
            <w:r w:rsidRPr="00E26E51">
              <w:rPr>
                <w:rFonts w:eastAsia="Times New Roman"/>
                <w:lang w:eastAsia="fr-FR"/>
              </w:rPr>
              <w:t>  </w:t>
            </w:r>
          </w:p>
          <w:p w:rsidR="00EC1AC4" w:rsidRPr="00E26E51" w:rsidRDefault="00EC1AC4" w:rsidP="00A312F3">
            <w:pPr>
              <w:pStyle w:val="Titre1"/>
              <w:rPr>
                <w:rFonts w:ascii="Times New Roman" w:eastAsia="Times New Roman" w:hAnsi="Times New Roman" w:cs="Times New Roman"/>
                <w:lang w:eastAsia="fr-FR"/>
              </w:rPr>
            </w:pPr>
            <w:bookmarkStart w:id="18" w:name="_Toc6241684"/>
            <w:r w:rsidRPr="00E26E51">
              <w:rPr>
                <w:rFonts w:eastAsia="Times New Roman"/>
                <w:lang w:eastAsia="fr-FR"/>
              </w:rPr>
              <w:t>plus de deux enfants</w:t>
            </w:r>
            <w:bookmarkEnd w:id="18"/>
            <w:r w:rsidRPr="00E26E51">
              <w:rPr>
                <w:rFonts w:eastAsia="Times New Roman"/>
                <w:lang w:eastAsia="fr-FR"/>
              </w:rPr>
              <w:t> </w:t>
            </w:r>
          </w:p>
        </w:tc>
        <w:tc>
          <w:tcPr>
            <w:tcW w:w="2472"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24 semaines</w:t>
            </w:r>
          </w:p>
        </w:tc>
        <w:tc>
          <w:tcPr>
            <w:tcW w:w="2790"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22 semaines</w:t>
            </w:r>
          </w:p>
        </w:tc>
        <w:tc>
          <w:tcPr>
            <w:tcW w:w="1765" w:type="dxa"/>
            <w:tcBorders>
              <w:top w:val="nil"/>
              <w:left w:val="nil"/>
              <w:bottom w:val="single" w:sz="6" w:space="0" w:color="000000"/>
              <w:right w:val="single" w:sz="6" w:space="0" w:color="000000"/>
            </w:tcBorders>
            <w:shd w:val="clear" w:color="auto" w:fill="auto"/>
            <w:hideMark/>
          </w:tcPr>
          <w:p w:rsidR="00EC1AC4" w:rsidRPr="00E26E51" w:rsidRDefault="00EC1AC4" w:rsidP="00A312F3">
            <w:pPr>
              <w:pStyle w:val="Sansinterligne"/>
              <w:jc w:val="center"/>
              <w:rPr>
                <w:rFonts w:ascii="Times New Roman" w:eastAsia="Times New Roman" w:hAnsi="Times New Roman" w:cs="Times New Roman"/>
                <w:lang w:eastAsia="fr-FR"/>
              </w:rPr>
            </w:pPr>
            <w:r w:rsidRPr="00E26E51">
              <w:rPr>
                <w:rFonts w:eastAsia="Times New Roman"/>
                <w:lang w:eastAsia="fr-FR"/>
              </w:rPr>
              <w:t>46 semaines</w:t>
            </w:r>
          </w:p>
        </w:tc>
      </w:tr>
    </w:tbl>
    <w:p w:rsidR="00EC1AC4" w:rsidRPr="00642DA9" w:rsidRDefault="00EC1AC4" w:rsidP="00642DA9">
      <w:pPr>
        <w:pStyle w:val="Titre5"/>
      </w:pPr>
      <w:r w:rsidRPr="00EC1AC4">
        <w:rPr>
          <w:rStyle w:val="normaltextrun"/>
        </w:rPr>
        <w:t xml:space="preserve">Le congé naissance et </w:t>
      </w:r>
      <w:r w:rsidRPr="00EC1AC4">
        <w:rPr>
          <w:rStyle w:val="spellingerror"/>
        </w:rPr>
        <w:t>paternité</w:t>
      </w:r>
      <w:r w:rsidRPr="00EC1AC4">
        <w:rPr>
          <w:rStyle w:val="normaltextrun"/>
        </w:rPr>
        <w:t> </w:t>
      </w:r>
      <w:r w:rsidRPr="00EC1AC4">
        <w:rPr>
          <w:rStyle w:val="eop"/>
        </w:rPr>
        <w:t> </w:t>
      </w:r>
    </w:p>
    <w:p w:rsidR="00EC1AC4" w:rsidRPr="00EC1AC4" w:rsidRDefault="00EC1AC4" w:rsidP="00EC1AC4">
      <w:pPr>
        <w:pStyle w:val="paragraph"/>
        <w:spacing w:before="0" w:beforeAutospacing="0" w:after="0" w:afterAutospacing="0"/>
        <w:jc w:val="both"/>
        <w:textAlignment w:val="baseline"/>
        <w:rPr>
          <w:rFonts w:ascii="&amp;quot" w:hAnsi="&amp;quot"/>
          <w:color w:val="000000"/>
          <w:sz w:val="20"/>
          <w:szCs w:val="20"/>
        </w:rPr>
      </w:pPr>
      <w:r w:rsidRPr="00EC1AC4">
        <w:rPr>
          <w:rStyle w:val="normaltextrun"/>
          <w:rFonts w:ascii="Arial" w:hAnsi="Arial" w:cs="Arial"/>
          <w:color w:val="000000"/>
          <w:sz w:val="20"/>
          <w:szCs w:val="20"/>
        </w:rPr>
        <w:t>En cas de naissance, un congé de paternité et d'accueil de l'enfant peut être accordé au père et éventuellement, à la personne vivant avec la mère.</w:t>
      </w:r>
      <w:r w:rsidRPr="00EC1AC4">
        <w:rPr>
          <w:rStyle w:val="eop"/>
          <w:rFonts w:ascii="Arial" w:hAnsi="Arial" w:cs="Arial"/>
          <w:color w:val="000000"/>
          <w:sz w:val="20"/>
          <w:szCs w:val="20"/>
        </w:rPr>
        <w:t> </w:t>
      </w:r>
    </w:p>
    <w:p w:rsidR="00EC1AC4" w:rsidRPr="00EC1AC4" w:rsidRDefault="00EC1AC4" w:rsidP="00EC1AC4">
      <w:pPr>
        <w:pStyle w:val="paragraph"/>
        <w:spacing w:before="0" w:beforeAutospacing="0" w:after="0" w:afterAutospacing="0"/>
        <w:jc w:val="both"/>
        <w:textAlignment w:val="baseline"/>
        <w:rPr>
          <w:rFonts w:ascii="&amp;quot" w:hAnsi="&amp;quot"/>
          <w:color w:val="000000"/>
          <w:sz w:val="20"/>
          <w:szCs w:val="20"/>
        </w:rPr>
      </w:pPr>
      <w:r w:rsidRPr="00EC1AC4">
        <w:rPr>
          <w:rStyle w:val="normaltextrun"/>
          <w:rFonts w:ascii="Arial" w:hAnsi="Arial" w:cs="Arial"/>
          <w:color w:val="000000"/>
          <w:sz w:val="20"/>
          <w:szCs w:val="20"/>
        </w:rPr>
        <w:t>Ces congés n’</w:t>
      </w:r>
      <w:r w:rsidR="00A312F3" w:rsidRPr="00EC1AC4">
        <w:rPr>
          <w:rStyle w:val="spellingerror"/>
          <w:rFonts w:ascii="Arial" w:hAnsi="Arial" w:cs="Arial"/>
          <w:color w:val="000000"/>
          <w:sz w:val="20"/>
          <w:szCs w:val="20"/>
        </w:rPr>
        <w:t>interviennent</w:t>
      </w:r>
      <w:r w:rsidRPr="00EC1AC4">
        <w:rPr>
          <w:rStyle w:val="normaltextrun"/>
          <w:rFonts w:ascii="Arial" w:hAnsi="Arial" w:cs="Arial"/>
          <w:color w:val="000000"/>
          <w:sz w:val="20"/>
          <w:szCs w:val="20"/>
        </w:rPr>
        <w:t xml:space="preserve"> pas forcément après la naissance.</w:t>
      </w:r>
      <w:r w:rsidRPr="00EC1AC4">
        <w:rPr>
          <w:rStyle w:val="eop"/>
          <w:rFonts w:ascii="Arial" w:hAnsi="Arial" w:cs="Arial"/>
          <w:color w:val="000000"/>
          <w:sz w:val="20"/>
          <w:szCs w:val="20"/>
        </w:rPr>
        <w:t> </w:t>
      </w:r>
    </w:p>
    <w:p w:rsidR="00A312F3" w:rsidRPr="00EC1AC4" w:rsidRDefault="00A312F3" w:rsidP="00EC1AC4">
      <w:pPr>
        <w:pStyle w:val="paragraph"/>
        <w:spacing w:before="0" w:beforeAutospacing="0" w:after="0" w:afterAutospacing="0"/>
        <w:jc w:val="both"/>
        <w:textAlignment w:val="baseline"/>
        <w:rPr>
          <w:rFonts w:ascii="&amp;quot" w:hAnsi="&amp;quot"/>
          <w:color w:val="000000"/>
          <w:sz w:val="20"/>
          <w:szCs w:val="20"/>
        </w:rPr>
      </w:pPr>
    </w:p>
    <w:tbl>
      <w:tblPr>
        <w:tblStyle w:val="Grilledutableau"/>
        <w:tblW w:w="0" w:type="auto"/>
        <w:tblLook w:val="04A0" w:firstRow="1" w:lastRow="0" w:firstColumn="1" w:lastColumn="0" w:noHBand="0" w:noVBand="1"/>
      </w:tblPr>
      <w:tblGrid>
        <w:gridCol w:w="5228"/>
        <w:gridCol w:w="5228"/>
      </w:tblGrid>
      <w:tr w:rsidR="00A312F3" w:rsidTr="00A312F3">
        <w:tc>
          <w:tcPr>
            <w:tcW w:w="5228" w:type="dxa"/>
          </w:tcPr>
          <w:p w:rsidR="00A312F3" w:rsidRDefault="00A312F3" w:rsidP="00EC1AC4">
            <w:pPr>
              <w:pStyle w:val="paragraph"/>
              <w:spacing w:before="0" w:beforeAutospacing="0" w:after="0" w:afterAutospacing="0"/>
              <w:jc w:val="both"/>
              <w:textAlignment w:val="baseline"/>
              <w:rPr>
                <w:rFonts w:ascii="&amp;quot" w:hAnsi="&amp;quot"/>
                <w:color w:val="000000"/>
                <w:sz w:val="20"/>
                <w:szCs w:val="20"/>
              </w:rPr>
            </w:pPr>
            <w:r w:rsidRPr="00EC1AC4">
              <w:rPr>
                <w:rStyle w:val="normaltextrun"/>
                <w:rFonts w:ascii="Arial" w:hAnsi="Arial" w:cs="Arial"/>
                <w:b/>
                <w:bCs/>
                <w:color w:val="000000"/>
                <w:sz w:val="20"/>
                <w:szCs w:val="20"/>
              </w:rPr>
              <w:t>Bénéficiaires :</w:t>
            </w:r>
            <w:r w:rsidRPr="00EC1AC4">
              <w:rPr>
                <w:rStyle w:val="eop"/>
                <w:rFonts w:ascii="Arial" w:hAnsi="Arial" w:cs="Arial"/>
                <w:color w:val="000000"/>
                <w:sz w:val="20"/>
                <w:szCs w:val="20"/>
              </w:rPr>
              <w:t> </w:t>
            </w:r>
            <w:r w:rsidRPr="00EC1AC4">
              <w:rPr>
                <w:rStyle w:val="normaltextrun"/>
                <w:rFonts w:ascii="Arial" w:hAnsi="Arial" w:cs="Arial"/>
                <w:color w:val="000000"/>
                <w:sz w:val="20"/>
                <w:szCs w:val="20"/>
              </w:rPr>
              <w:t>Tout salarié étant :</w:t>
            </w:r>
            <w:r w:rsidRPr="00EC1AC4">
              <w:rPr>
                <w:rStyle w:val="eop"/>
                <w:rFonts w:ascii="Arial" w:hAnsi="Arial" w:cs="Arial"/>
                <w:color w:val="000000"/>
                <w:sz w:val="20"/>
                <w:szCs w:val="20"/>
              </w:rPr>
              <w:t> </w:t>
            </w:r>
          </w:p>
        </w:tc>
        <w:tc>
          <w:tcPr>
            <w:tcW w:w="5228" w:type="dxa"/>
          </w:tcPr>
          <w:p w:rsidR="00A312F3" w:rsidRPr="00EC1AC4" w:rsidRDefault="00A312F3" w:rsidP="00A312F3">
            <w:pPr>
              <w:pStyle w:val="paragraph"/>
              <w:numPr>
                <w:ilvl w:val="0"/>
                <w:numId w:val="15"/>
              </w:numPr>
              <w:spacing w:before="0" w:beforeAutospacing="0" w:after="0" w:afterAutospacing="0"/>
              <w:ind w:left="360" w:firstLine="0"/>
              <w:jc w:val="both"/>
              <w:textAlignment w:val="baseline"/>
              <w:rPr>
                <w:rFonts w:ascii="Arial" w:hAnsi="Arial" w:cs="Arial"/>
                <w:color w:val="000000"/>
                <w:sz w:val="20"/>
                <w:szCs w:val="20"/>
              </w:rPr>
            </w:pPr>
            <w:r w:rsidRPr="00EC1AC4">
              <w:rPr>
                <w:rStyle w:val="normaltextrun"/>
                <w:rFonts w:ascii="Arial" w:hAnsi="Arial" w:cs="Arial"/>
                <w:color w:val="000000"/>
                <w:sz w:val="20"/>
                <w:szCs w:val="20"/>
              </w:rPr>
              <w:t>Père de l'enfant</w:t>
            </w:r>
            <w:r w:rsidRPr="00EC1AC4">
              <w:rPr>
                <w:rStyle w:val="eop"/>
                <w:rFonts w:ascii="Arial" w:hAnsi="Arial" w:cs="Arial"/>
                <w:color w:val="000000"/>
                <w:sz w:val="20"/>
                <w:szCs w:val="20"/>
              </w:rPr>
              <w:t> </w:t>
            </w:r>
          </w:p>
          <w:p w:rsidR="00A312F3" w:rsidRPr="00EC1AC4" w:rsidRDefault="00A312F3" w:rsidP="00A312F3">
            <w:pPr>
              <w:pStyle w:val="paragraph"/>
              <w:numPr>
                <w:ilvl w:val="0"/>
                <w:numId w:val="15"/>
              </w:numPr>
              <w:spacing w:before="0" w:beforeAutospacing="0" w:after="0" w:afterAutospacing="0"/>
              <w:ind w:left="360" w:firstLine="0"/>
              <w:jc w:val="both"/>
              <w:textAlignment w:val="baseline"/>
              <w:rPr>
                <w:rFonts w:ascii="Arial" w:hAnsi="Arial" w:cs="Arial"/>
                <w:color w:val="000000"/>
                <w:sz w:val="20"/>
                <w:szCs w:val="20"/>
              </w:rPr>
            </w:pPr>
            <w:r w:rsidRPr="00EC1AC4">
              <w:rPr>
                <w:rStyle w:val="normaltextrun"/>
                <w:rFonts w:ascii="Arial" w:hAnsi="Arial" w:cs="Arial"/>
                <w:color w:val="000000"/>
                <w:sz w:val="20"/>
                <w:szCs w:val="20"/>
              </w:rPr>
              <w:t>Eventuellement, la personne qui est mariée, pacsée ou vit maritalement avec la mère.</w:t>
            </w:r>
            <w:r w:rsidRPr="00EC1AC4">
              <w:rPr>
                <w:rStyle w:val="eop"/>
                <w:rFonts w:ascii="Arial" w:hAnsi="Arial" w:cs="Arial"/>
                <w:color w:val="000000"/>
                <w:sz w:val="20"/>
                <w:szCs w:val="20"/>
              </w:rPr>
              <w:t> </w:t>
            </w:r>
          </w:p>
          <w:p w:rsidR="00A312F3" w:rsidRDefault="00A312F3" w:rsidP="00EC1AC4">
            <w:pPr>
              <w:pStyle w:val="paragraph"/>
              <w:spacing w:before="0" w:beforeAutospacing="0" w:after="0" w:afterAutospacing="0"/>
              <w:jc w:val="both"/>
              <w:textAlignment w:val="baseline"/>
              <w:rPr>
                <w:rFonts w:ascii="&amp;quot" w:hAnsi="&amp;quot"/>
                <w:color w:val="000000"/>
                <w:sz w:val="20"/>
                <w:szCs w:val="20"/>
              </w:rPr>
            </w:pPr>
          </w:p>
        </w:tc>
      </w:tr>
      <w:tr w:rsidR="00A312F3" w:rsidTr="00C41E49">
        <w:trPr>
          <w:trHeight w:val="63"/>
        </w:trPr>
        <w:tc>
          <w:tcPr>
            <w:tcW w:w="5228" w:type="dxa"/>
          </w:tcPr>
          <w:p w:rsidR="00A312F3" w:rsidRPr="00EC1AC4" w:rsidRDefault="00A312F3" w:rsidP="00A312F3">
            <w:pPr>
              <w:pStyle w:val="paragraph"/>
              <w:spacing w:before="0" w:beforeAutospacing="0" w:after="0" w:afterAutospacing="0"/>
              <w:jc w:val="both"/>
              <w:textAlignment w:val="baseline"/>
              <w:rPr>
                <w:rFonts w:ascii="&amp;quot" w:hAnsi="&amp;quot"/>
                <w:color w:val="000000"/>
                <w:sz w:val="20"/>
                <w:szCs w:val="20"/>
              </w:rPr>
            </w:pPr>
            <w:r w:rsidRPr="00EC1AC4">
              <w:rPr>
                <w:rStyle w:val="normaltextrun"/>
                <w:rFonts w:ascii="Arial" w:hAnsi="Arial" w:cs="Arial"/>
                <w:b/>
                <w:bCs/>
                <w:color w:val="000000"/>
                <w:sz w:val="20"/>
                <w:szCs w:val="20"/>
              </w:rPr>
              <w:t>Durée :</w:t>
            </w:r>
            <w:r w:rsidRPr="00EC1AC4">
              <w:rPr>
                <w:rStyle w:val="eop"/>
                <w:rFonts w:ascii="Arial" w:hAnsi="Arial" w:cs="Arial"/>
                <w:color w:val="000000"/>
                <w:sz w:val="20"/>
                <w:szCs w:val="20"/>
              </w:rPr>
              <w:t> </w:t>
            </w:r>
          </w:p>
          <w:p w:rsidR="00A312F3" w:rsidRDefault="00A312F3" w:rsidP="00EC1AC4">
            <w:pPr>
              <w:pStyle w:val="paragraph"/>
              <w:spacing w:before="0" w:beforeAutospacing="0" w:after="0" w:afterAutospacing="0"/>
              <w:jc w:val="both"/>
              <w:textAlignment w:val="baseline"/>
              <w:rPr>
                <w:rFonts w:ascii="&amp;quot" w:hAnsi="&amp;quot"/>
                <w:color w:val="000000"/>
                <w:sz w:val="20"/>
                <w:szCs w:val="20"/>
              </w:rPr>
            </w:pPr>
          </w:p>
        </w:tc>
        <w:tc>
          <w:tcPr>
            <w:tcW w:w="5228" w:type="dxa"/>
          </w:tcPr>
          <w:p w:rsidR="00A312F3" w:rsidRPr="00EC1AC4" w:rsidRDefault="00A312F3" w:rsidP="00A312F3">
            <w:pPr>
              <w:pStyle w:val="paragraph"/>
              <w:numPr>
                <w:ilvl w:val="0"/>
                <w:numId w:val="16"/>
              </w:numPr>
              <w:spacing w:before="0" w:beforeAutospacing="0" w:after="0" w:afterAutospacing="0"/>
              <w:ind w:left="360" w:firstLine="0"/>
              <w:jc w:val="both"/>
              <w:textAlignment w:val="baseline"/>
              <w:rPr>
                <w:rFonts w:ascii="Arial" w:hAnsi="Arial" w:cs="Arial"/>
                <w:color w:val="000000"/>
                <w:sz w:val="20"/>
                <w:szCs w:val="20"/>
              </w:rPr>
            </w:pPr>
            <w:r w:rsidRPr="00EC1AC4">
              <w:rPr>
                <w:rStyle w:val="normaltextrun"/>
                <w:rFonts w:ascii="Arial" w:hAnsi="Arial" w:cs="Arial"/>
                <w:color w:val="000000"/>
                <w:sz w:val="20"/>
                <w:szCs w:val="20"/>
              </w:rPr>
              <w:t>3 jours ouvrés + 11 </w:t>
            </w:r>
            <w:hyperlink r:id="rId16" w:tgtFrame="_blank" w:history="1">
              <w:r w:rsidRPr="00EC1AC4">
                <w:rPr>
                  <w:rStyle w:val="normaltextrun"/>
                  <w:rFonts w:ascii="Arial" w:hAnsi="Arial" w:cs="Arial"/>
                  <w:color w:val="000000"/>
                  <w:sz w:val="20"/>
                  <w:szCs w:val="20"/>
                </w:rPr>
                <w:t>jours calendaires</w:t>
              </w:r>
            </w:hyperlink>
            <w:r w:rsidRPr="00EC1AC4">
              <w:rPr>
                <w:rStyle w:val="normaltextrun"/>
                <w:rFonts w:ascii="Arial" w:hAnsi="Arial" w:cs="Arial"/>
                <w:color w:val="000000"/>
                <w:sz w:val="20"/>
                <w:szCs w:val="20"/>
              </w:rPr>
              <w:t> </w:t>
            </w:r>
            <w:r w:rsidRPr="00EC1AC4">
              <w:rPr>
                <w:rStyle w:val="contextualspellingandgrammarerror"/>
                <w:rFonts w:ascii="Arial" w:hAnsi="Arial" w:cs="Arial"/>
                <w:color w:val="000000"/>
                <w:sz w:val="20"/>
                <w:szCs w:val="20"/>
              </w:rPr>
              <w:t>maximum</w:t>
            </w:r>
            <w:r w:rsidRPr="00EC1AC4">
              <w:rPr>
                <w:rStyle w:val="normaltextrun"/>
                <w:rFonts w:ascii="Arial" w:hAnsi="Arial" w:cs="Arial"/>
                <w:color w:val="000000"/>
                <w:sz w:val="20"/>
                <w:szCs w:val="20"/>
              </w:rPr>
              <w:t xml:space="preserve"> en cas de naissance d'un enfant</w:t>
            </w:r>
            <w:r w:rsidRPr="00EC1AC4">
              <w:rPr>
                <w:rStyle w:val="eop"/>
                <w:rFonts w:ascii="Arial" w:hAnsi="Arial" w:cs="Arial"/>
                <w:color w:val="000000"/>
                <w:sz w:val="20"/>
                <w:szCs w:val="20"/>
              </w:rPr>
              <w:t> </w:t>
            </w:r>
          </w:p>
          <w:p w:rsidR="00A312F3" w:rsidRPr="00EC1AC4" w:rsidRDefault="00A312F3" w:rsidP="00A312F3">
            <w:pPr>
              <w:pStyle w:val="paragraph"/>
              <w:numPr>
                <w:ilvl w:val="0"/>
                <w:numId w:val="17"/>
              </w:numPr>
              <w:spacing w:before="0" w:beforeAutospacing="0" w:after="0" w:afterAutospacing="0"/>
              <w:ind w:left="360" w:firstLine="0"/>
              <w:jc w:val="both"/>
              <w:textAlignment w:val="baseline"/>
              <w:rPr>
                <w:rFonts w:ascii="Arial" w:hAnsi="Arial" w:cs="Arial"/>
                <w:color w:val="000000"/>
                <w:sz w:val="20"/>
                <w:szCs w:val="20"/>
              </w:rPr>
            </w:pPr>
            <w:r w:rsidRPr="00EC1AC4">
              <w:rPr>
                <w:rStyle w:val="normaltextrun"/>
                <w:rFonts w:ascii="Arial" w:hAnsi="Arial" w:cs="Arial"/>
                <w:color w:val="000000"/>
                <w:sz w:val="20"/>
                <w:szCs w:val="20"/>
              </w:rPr>
              <w:t>3 jours ouvrés + 18 jours calendaires maximum en cas de naissances multiples.</w:t>
            </w:r>
            <w:r w:rsidRPr="00EC1AC4">
              <w:rPr>
                <w:rStyle w:val="eop"/>
                <w:rFonts w:ascii="Arial" w:hAnsi="Arial" w:cs="Arial"/>
                <w:color w:val="000000"/>
                <w:sz w:val="20"/>
                <w:szCs w:val="20"/>
              </w:rPr>
              <w:t> </w:t>
            </w:r>
          </w:p>
          <w:p w:rsidR="00A312F3" w:rsidRDefault="00A312F3" w:rsidP="00EC1AC4">
            <w:pPr>
              <w:pStyle w:val="paragraph"/>
              <w:spacing w:before="0" w:beforeAutospacing="0" w:after="0" w:afterAutospacing="0"/>
              <w:jc w:val="both"/>
              <w:textAlignment w:val="baseline"/>
              <w:rPr>
                <w:rFonts w:ascii="&amp;quot" w:hAnsi="&amp;quot"/>
                <w:color w:val="000000"/>
                <w:sz w:val="20"/>
                <w:szCs w:val="20"/>
              </w:rPr>
            </w:pPr>
          </w:p>
        </w:tc>
      </w:tr>
    </w:tbl>
    <w:p w:rsidR="00EC1AC4" w:rsidRPr="00EC1AC4" w:rsidRDefault="00EC1AC4" w:rsidP="00EC1AC4">
      <w:pPr>
        <w:pStyle w:val="paragraph"/>
        <w:spacing w:before="0" w:beforeAutospacing="0" w:after="0" w:afterAutospacing="0"/>
        <w:ind w:left="240"/>
        <w:jc w:val="both"/>
        <w:textAlignment w:val="baseline"/>
        <w:rPr>
          <w:rFonts w:ascii="&amp;quot" w:hAnsi="&amp;quot"/>
          <w:color w:val="000000"/>
          <w:sz w:val="20"/>
          <w:szCs w:val="20"/>
        </w:rPr>
      </w:pPr>
      <w:r w:rsidRPr="00EC1AC4">
        <w:rPr>
          <w:rStyle w:val="normaltextrun"/>
          <w:rFonts w:ascii="Arial" w:hAnsi="Arial" w:cs="Arial"/>
          <w:color w:val="000000"/>
          <w:sz w:val="20"/>
          <w:szCs w:val="20"/>
        </w:rPr>
        <w:t xml:space="preserve">La gestion du congé de naissance et paternité dans </w:t>
      </w:r>
      <w:r w:rsidRPr="00EC1AC4">
        <w:rPr>
          <w:rStyle w:val="contextualspellingandgrammarerror"/>
          <w:rFonts w:ascii="Arial" w:hAnsi="Arial" w:cs="Arial"/>
          <w:color w:val="000000"/>
          <w:sz w:val="20"/>
          <w:szCs w:val="20"/>
        </w:rPr>
        <w:t>ALISTA  FRANCE</w:t>
      </w:r>
      <w:r w:rsidRPr="00EC1AC4">
        <w:rPr>
          <w:rStyle w:val="normaltextrun"/>
          <w:rFonts w:ascii="Arial" w:hAnsi="Arial" w:cs="Arial"/>
          <w:color w:val="000000"/>
          <w:sz w:val="20"/>
          <w:szCs w:val="20"/>
        </w:rPr>
        <w:t>, se fait par utilisation de motif.  </w:t>
      </w:r>
      <w:r w:rsidRPr="00EC1AC4">
        <w:rPr>
          <w:rStyle w:val="eop"/>
          <w:rFonts w:ascii="Arial" w:hAnsi="Arial" w:cs="Arial"/>
          <w:color w:val="000000"/>
          <w:sz w:val="20"/>
          <w:szCs w:val="20"/>
        </w:rPr>
        <w:t> </w:t>
      </w:r>
    </w:p>
    <w:p w:rsidR="00EC1AC4" w:rsidRDefault="00EC1AC4" w:rsidP="00EC1AC4">
      <w:pPr>
        <w:spacing w:after="49"/>
        <w:ind w:right="76"/>
        <w:rPr>
          <w:rStyle w:val="eop"/>
          <w:rFonts w:ascii="Arial" w:hAnsi="Arial" w:cs="Arial"/>
          <w:color w:val="000000"/>
        </w:rPr>
      </w:pPr>
      <w:r w:rsidRPr="00EC1AC4">
        <w:rPr>
          <w:rStyle w:val="normaltextrun"/>
          <w:rFonts w:ascii="Arial" w:hAnsi="Arial" w:cs="Arial"/>
          <w:color w:val="000000"/>
        </w:rPr>
        <w:t>Le salarié doit ensuite réaliser les démarches administratives auprès du service RH de l’entreprise afin de justifier cette demande de congé.</w:t>
      </w:r>
      <w:r w:rsidRPr="00EC1AC4">
        <w:rPr>
          <w:rStyle w:val="eop"/>
          <w:rFonts w:ascii="Arial" w:hAnsi="Arial" w:cs="Arial"/>
          <w:color w:val="000000"/>
        </w:rPr>
        <w:t> </w:t>
      </w:r>
    </w:p>
    <w:p w:rsidR="00AD6527" w:rsidRDefault="00AD6527" w:rsidP="00EC1AC4">
      <w:pPr>
        <w:spacing w:after="49"/>
        <w:ind w:right="76"/>
        <w:rPr>
          <w:rStyle w:val="eop"/>
          <w:rFonts w:ascii="Arial" w:hAnsi="Arial" w:cs="Arial"/>
          <w:color w:val="000000"/>
        </w:rPr>
      </w:pPr>
    </w:p>
    <w:p w:rsidR="00AD6527" w:rsidRDefault="00AD6527" w:rsidP="00EC1AC4">
      <w:pPr>
        <w:spacing w:after="49"/>
        <w:ind w:right="76"/>
        <w:rPr>
          <w:rStyle w:val="eop"/>
          <w:rFonts w:ascii="Arial" w:hAnsi="Arial" w:cs="Arial"/>
          <w:color w:val="000000"/>
        </w:rPr>
      </w:pPr>
    </w:p>
    <w:p w:rsidR="00AD6527" w:rsidRDefault="00AD6527" w:rsidP="00EC1AC4">
      <w:pPr>
        <w:spacing w:after="49"/>
        <w:ind w:right="76"/>
        <w:rPr>
          <w:rStyle w:val="eop"/>
          <w:rFonts w:ascii="Arial" w:hAnsi="Arial" w:cs="Arial"/>
          <w:color w:val="000000"/>
        </w:rPr>
      </w:pPr>
    </w:p>
    <w:p w:rsidR="00CD677D" w:rsidRPr="008E267B" w:rsidRDefault="00CD677D" w:rsidP="00CD677D">
      <w:pPr>
        <w:pStyle w:val="Titre4"/>
      </w:pPr>
      <w:r w:rsidRPr="008E267B">
        <w:lastRenderedPageBreak/>
        <w:t>Absence pour examens médicaux obligatoires L. 1225-16</w:t>
      </w:r>
    </w:p>
    <w:p w:rsidR="00CD677D" w:rsidRPr="00917C25" w:rsidRDefault="00CD677D" w:rsidP="00CD677D">
      <w:pPr>
        <w:spacing w:after="29"/>
        <w:ind w:right="83"/>
        <w:rPr>
          <w:rFonts w:ascii="Tahoma" w:hAnsi="Tahoma" w:cs="Tahoma"/>
        </w:rPr>
      </w:pPr>
      <w:r w:rsidRPr="00917C25">
        <w:rPr>
          <w:rFonts w:ascii="Tahoma" w:hAnsi="Tahoma" w:cs="Tahoma"/>
        </w:rPr>
        <w:t>La salariée bénéficie d'une autorisation d'absence pour</w:t>
      </w:r>
      <w:r>
        <w:rPr>
          <w:rFonts w:ascii="Tahoma" w:hAnsi="Tahoma" w:cs="Tahoma"/>
        </w:rPr>
        <w:t xml:space="preserve"> </w:t>
      </w:r>
      <w:r w:rsidRPr="00917C25">
        <w:rPr>
          <w:rFonts w:ascii="Tahoma" w:hAnsi="Tahoma" w:cs="Tahoma"/>
        </w:rPr>
        <w:t>se rendre aux examens médicaux obligatoires prévus par</w:t>
      </w:r>
      <w:r>
        <w:rPr>
          <w:rFonts w:ascii="Tahoma" w:hAnsi="Tahoma" w:cs="Tahoma"/>
        </w:rPr>
        <w:t xml:space="preserve"> </w:t>
      </w:r>
      <w:r w:rsidRPr="00917C25">
        <w:rPr>
          <w:rFonts w:ascii="Tahoma" w:hAnsi="Tahoma" w:cs="Tahoma"/>
        </w:rPr>
        <w:t>l'article L. 2122-1 du code de la santé publique dans</w:t>
      </w:r>
      <w:r>
        <w:rPr>
          <w:rFonts w:ascii="Tahoma" w:hAnsi="Tahoma" w:cs="Tahoma"/>
        </w:rPr>
        <w:t xml:space="preserve"> </w:t>
      </w:r>
      <w:r w:rsidRPr="00917C25">
        <w:rPr>
          <w:rFonts w:ascii="Tahoma" w:hAnsi="Tahoma" w:cs="Tahoma"/>
        </w:rPr>
        <w:t>le cadre de la surveillance médicale de la grossesse</w:t>
      </w:r>
      <w:r>
        <w:rPr>
          <w:rFonts w:ascii="Tahoma" w:hAnsi="Tahoma" w:cs="Tahoma"/>
        </w:rPr>
        <w:t xml:space="preserve"> </w:t>
      </w:r>
      <w:r w:rsidRPr="00917C25">
        <w:rPr>
          <w:rFonts w:ascii="Tahoma" w:hAnsi="Tahoma" w:cs="Tahoma"/>
        </w:rPr>
        <w:t>et des suites de l'accouchement.</w:t>
      </w:r>
      <w:r>
        <w:rPr>
          <w:rFonts w:ascii="Tahoma" w:hAnsi="Tahoma" w:cs="Tahoma"/>
        </w:rPr>
        <w:t xml:space="preserve"> </w:t>
      </w:r>
    </w:p>
    <w:p w:rsidR="00CD677D" w:rsidRPr="00917C25" w:rsidRDefault="00CD677D" w:rsidP="00CD677D">
      <w:pPr>
        <w:spacing w:after="29"/>
        <w:ind w:right="83"/>
        <w:rPr>
          <w:rFonts w:ascii="Tahoma" w:hAnsi="Tahoma" w:cs="Tahoma"/>
        </w:rPr>
      </w:pPr>
      <w:r w:rsidRPr="00917C25">
        <w:rPr>
          <w:rFonts w:ascii="Tahoma" w:hAnsi="Tahoma" w:cs="Tahoma"/>
        </w:rPr>
        <w:t xml:space="preserve">  La salariée bénéficiant d'une assistance médicale à</w:t>
      </w:r>
      <w:r>
        <w:rPr>
          <w:rFonts w:ascii="Tahoma" w:hAnsi="Tahoma" w:cs="Tahoma"/>
        </w:rPr>
        <w:t xml:space="preserve"> </w:t>
      </w:r>
      <w:r w:rsidRPr="00917C25">
        <w:rPr>
          <w:rFonts w:ascii="Tahoma" w:hAnsi="Tahoma" w:cs="Tahoma"/>
        </w:rPr>
        <w:t>la procréation dans les conditions prévues au chapitre</w:t>
      </w:r>
      <w:r>
        <w:rPr>
          <w:rFonts w:ascii="Tahoma" w:hAnsi="Tahoma" w:cs="Tahoma"/>
        </w:rPr>
        <w:t xml:space="preserve"> </w:t>
      </w:r>
      <w:r w:rsidRPr="00917C25">
        <w:rPr>
          <w:rFonts w:ascii="Tahoma" w:hAnsi="Tahoma" w:cs="Tahoma"/>
        </w:rPr>
        <w:t>Ier du titre IV du livre Ier de la deuxième partie du</w:t>
      </w:r>
      <w:r>
        <w:rPr>
          <w:rFonts w:ascii="Tahoma" w:hAnsi="Tahoma" w:cs="Tahoma"/>
        </w:rPr>
        <w:t xml:space="preserve"> </w:t>
      </w:r>
      <w:r w:rsidRPr="00917C25">
        <w:rPr>
          <w:rFonts w:ascii="Tahoma" w:hAnsi="Tahoma" w:cs="Tahoma"/>
        </w:rPr>
        <w:t>code de la santé publique bénéficie d'une autorisation</w:t>
      </w:r>
      <w:r>
        <w:rPr>
          <w:rFonts w:ascii="Tahoma" w:hAnsi="Tahoma" w:cs="Tahoma"/>
        </w:rPr>
        <w:t xml:space="preserve"> </w:t>
      </w:r>
      <w:r w:rsidRPr="00917C25">
        <w:rPr>
          <w:rFonts w:ascii="Tahoma" w:hAnsi="Tahoma" w:cs="Tahoma"/>
        </w:rPr>
        <w:t>d'absence pour les actes médicaux nécessaires.</w:t>
      </w:r>
    </w:p>
    <w:p w:rsidR="00CD677D" w:rsidRDefault="00CD677D" w:rsidP="00CD677D">
      <w:pPr>
        <w:spacing w:after="29"/>
        <w:ind w:right="83"/>
        <w:rPr>
          <w:rFonts w:ascii="Tahoma" w:hAnsi="Tahoma" w:cs="Tahoma"/>
        </w:rPr>
      </w:pPr>
      <w:r w:rsidRPr="00917C25">
        <w:rPr>
          <w:rFonts w:ascii="Tahoma" w:hAnsi="Tahoma" w:cs="Tahoma"/>
        </w:rPr>
        <w:t xml:space="preserve">  Le conjoint salarié de la femme enceinte ou bénéficiant</w:t>
      </w:r>
      <w:r>
        <w:rPr>
          <w:rFonts w:ascii="Tahoma" w:hAnsi="Tahoma" w:cs="Tahoma"/>
        </w:rPr>
        <w:t xml:space="preserve"> </w:t>
      </w:r>
      <w:r w:rsidRPr="00917C25">
        <w:rPr>
          <w:rFonts w:ascii="Tahoma" w:hAnsi="Tahoma" w:cs="Tahoma"/>
        </w:rPr>
        <w:t>d'une assistance médicale à la procréation ou la personne</w:t>
      </w:r>
      <w:r>
        <w:rPr>
          <w:rFonts w:ascii="Tahoma" w:hAnsi="Tahoma" w:cs="Tahoma"/>
        </w:rPr>
        <w:t xml:space="preserve"> </w:t>
      </w:r>
      <w:r w:rsidRPr="00917C25">
        <w:rPr>
          <w:rFonts w:ascii="Tahoma" w:hAnsi="Tahoma" w:cs="Tahoma"/>
        </w:rPr>
        <w:t>salariée liée à elle par un pacte civil de solidarité</w:t>
      </w:r>
      <w:r>
        <w:rPr>
          <w:rFonts w:ascii="Tahoma" w:hAnsi="Tahoma" w:cs="Tahoma"/>
        </w:rPr>
        <w:t xml:space="preserve"> </w:t>
      </w:r>
      <w:r w:rsidRPr="00917C25">
        <w:rPr>
          <w:rFonts w:ascii="Tahoma" w:hAnsi="Tahoma" w:cs="Tahoma"/>
        </w:rPr>
        <w:t>ou vivant maritalement avec elle bénéficie également</w:t>
      </w:r>
      <w:r>
        <w:rPr>
          <w:rFonts w:ascii="Tahoma" w:hAnsi="Tahoma" w:cs="Tahoma"/>
        </w:rPr>
        <w:t xml:space="preserve"> </w:t>
      </w:r>
      <w:r w:rsidRPr="00917C25">
        <w:rPr>
          <w:rFonts w:ascii="Tahoma" w:hAnsi="Tahoma" w:cs="Tahoma"/>
        </w:rPr>
        <w:t>d'une autorisation d'absence pour se rendre à trois de</w:t>
      </w:r>
      <w:r>
        <w:rPr>
          <w:rFonts w:ascii="Tahoma" w:hAnsi="Tahoma" w:cs="Tahoma"/>
        </w:rPr>
        <w:t xml:space="preserve"> </w:t>
      </w:r>
      <w:r w:rsidRPr="00917C25">
        <w:rPr>
          <w:rFonts w:ascii="Tahoma" w:hAnsi="Tahoma" w:cs="Tahoma"/>
        </w:rPr>
        <w:t>ces examens médicaux obligatoires ou de ces actes médicaux</w:t>
      </w:r>
      <w:r>
        <w:rPr>
          <w:rFonts w:ascii="Tahoma" w:hAnsi="Tahoma" w:cs="Tahoma"/>
        </w:rPr>
        <w:t xml:space="preserve"> </w:t>
      </w:r>
      <w:r w:rsidRPr="00917C25">
        <w:rPr>
          <w:rFonts w:ascii="Tahoma" w:hAnsi="Tahoma" w:cs="Tahoma"/>
        </w:rPr>
        <w:t>nécessaires pour chaque protocole du parcours d'assistance</w:t>
      </w:r>
      <w:r>
        <w:rPr>
          <w:rFonts w:ascii="Tahoma" w:hAnsi="Tahoma" w:cs="Tahoma"/>
        </w:rPr>
        <w:t xml:space="preserve"> </w:t>
      </w:r>
      <w:r w:rsidRPr="00917C25">
        <w:rPr>
          <w:rFonts w:ascii="Tahoma" w:hAnsi="Tahoma" w:cs="Tahoma"/>
        </w:rPr>
        <w:t>médicale au maximum.</w:t>
      </w:r>
      <w:r>
        <w:rPr>
          <w:rFonts w:ascii="Tahoma" w:hAnsi="Tahoma" w:cs="Tahoma"/>
        </w:rPr>
        <w:t xml:space="preserve"> </w:t>
      </w:r>
      <w:r w:rsidRPr="00917C25">
        <w:rPr>
          <w:rFonts w:ascii="Tahoma" w:hAnsi="Tahoma" w:cs="Tahoma"/>
        </w:rPr>
        <w:t>Ces absences n'entraînent aucune diminution de la rémunération</w:t>
      </w:r>
      <w:r>
        <w:rPr>
          <w:rFonts w:ascii="Tahoma" w:hAnsi="Tahoma" w:cs="Tahoma"/>
        </w:rPr>
        <w:t xml:space="preserve"> </w:t>
      </w:r>
      <w:r w:rsidRPr="00917C25">
        <w:rPr>
          <w:rFonts w:ascii="Tahoma" w:hAnsi="Tahoma" w:cs="Tahoma"/>
        </w:rPr>
        <w:t>et sont assimilées à une période de travail effectif</w:t>
      </w:r>
      <w:r>
        <w:rPr>
          <w:rFonts w:ascii="Tahoma" w:hAnsi="Tahoma" w:cs="Tahoma"/>
        </w:rPr>
        <w:t xml:space="preserve"> </w:t>
      </w:r>
      <w:r w:rsidRPr="00917C25">
        <w:rPr>
          <w:rFonts w:ascii="Tahoma" w:hAnsi="Tahoma" w:cs="Tahoma"/>
        </w:rPr>
        <w:t>pour la détermination de la durée des congés payés ainsi</w:t>
      </w:r>
      <w:r>
        <w:rPr>
          <w:rFonts w:ascii="Tahoma" w:hAnsi="Tahoma" w:cs="Tahoma"/>
        </w:rPr>
        <w:t xml:space="preserve"> </w:t>
      </w:r>
      <w:r w:rsidRPr="00917C25">
        <w:rPr>
          <w:rFonts w:ascii="Tahoma" w:hAnsi="Tahoma" w:cs="Tahoma"/>
        </w:rPr>
        <w:t>que pour les droits légaux ou conventionnels acquis par</w:t>
      </w:r>
      <w:r>
        <w:rPr>
          <w:rFonts w:ascii="Tahoma" w:hAnsi="Tahoma" w:cs="Tahoma"/>
        </w:rPr>
        <w:t xml:space="preserve"> </w:t>
      </w:r>
      <w:r w:rsidRPr="00917C25">
        <w:rPr>
          <w:rFonts w:ascii="Tahoma" w:hAnsi="Tahoma" w:cs="Tahoma"/>
        </w:rPr>
        <w:t>la salariée au titre de son ancienneté dans l'entreprise.</w:t>
      </w:r>
    </w:p>
    <w:p w:rsidR="005D3A6D" w:rsidRPr="005E7F8B" w:rsidRDefault="005D3A6D" w:rsidP="00EC1AC4">
      <w:pPr>
        <w:pStyle w:val="Titre5"/>
      </w:pPr>
      <w:r w:rsidRPr="005E7F8B">
        <w:t>LE CONGÉ SANS SOLDE</w:t>
      </w:r>
      <w:r w:rsidRPr="005E7F8B">
        <w:rPr>
          <w:rFonts w:eastAsia="Tahoma"/>
        </w:rPr>
        <w:t xml:space="preserve"> </w:t>
      </w:r>
    </w:p>
    <w:p w:rsidR="005D3A6D" w:rsidRPr="005E7F8B" w:rsidRDefault="005D3A6D" w:rsidP="004C3153">
      <w:pPr>
        <w:spacing w:after="27"/>
        <w:ind w:left="12" w:right="118"/>
        <w:rPr>
          <w:rFonts w:ascii="Tahoma" w:hAnsi="Tahoma" w:cs="Tahoma"/>
        </w:rPr>
      </w:pPr>
      <w:r w:rsidRPr="005E7F8B">
        <w:rPr>
          <w:rFonts w:ascii="Tahoma" w:hAnsi="Tahoma" w:cs="Tahoma"/>
        </w:rPr>
        <w:t xml:space="preserve">Le congé sans solde n’est pas réglementé : aucune procédure n’est imposée pour en bénéficier. Son organisation et sa durée sont </w:t>
      </w:r>
      <w:r w:rsidRPr="005E7F8B">
        <w:rPr>
          <w:rFonts w:ascii="Tahoma" w:hAnsi="Tahoma" w:cs="Tahoma"/>
          <w:u w:val="single" w:color="000000"/>
        </w:rPr>
        <w:t>définies de</w:t>
      </w:r>
      <w:r w:rsidRPr="005E7F8B">
        <w:rPr>
          <w:rFonts w:ascii="Tahoma" w:hAnsi="Tahoma" w:cs="Tahoma"/>
        </w:rPr>
        <w:t xml:space="preserve"> </w:t>
      </w:r>
      <w:r w:rsidRPr="005E7F8B">
        <w:rPr>
          <w:rFonts w:ascii="Tahoma" w:hAnsi="Tahoma" w:cs="Tahoma"/>
          <w:u w:val="single" w:color="000000"/>
        </w:rPr>
        <w:t>gré à gré</w:t>
      </w:r>
      <w:r w:rsidRPr="005E7F8B">
        <w:rPr>
          <w:rFonts w:ascii="Tahoma" w:hAnsi="Tahoma" w:cs="Tahoma"/>
        </w:rPr>
        <w:t xml:space="preserve"> entre le salarié et l’employeur. Celui-ci est libre de l’accepter ou de le refuser. Un salarié peut demander un congé sans solde pour divers motifs.  </w:t>
      </w:r>
    </w:p>
    <w:p w:rsidR="005D3A6D" w:rsidRPr="005E7F8B" w:rsidRDefault="005D3A6D" w:rsidP="005D3A6D">
      <w:pPr>
        <w:spacing w:after="54"/>
        <w:ind w:left="12" w:right="14" w:hanging="10"/>
        <w:rPr>
          <w:rFonts w:ascii="Tahoma" w:hAnsi="Tahoma" w:cs="Tahoma"/>
        </w:rPr>
      </w:pPr>
      <w:r w:rsidRPr="005E7F8B">
        <w:rPr>
          <w:rFonts w:ascii="Tahoma" w:hAnsi="Tahoma" w:cs="Tahoma"/>
          <w:noProof/>
        </w:rPr>
        <w:drawing>
          <wp:anchor distT="0" distB="0" distL="114300" distR="114300" simplePos="0" relativeHeight="251669504" behindDoc="1" locked="0" layoutInCell="1" allowOverlap="0" wp14:anchorId="2515CA98" wp14:editId="5009F9B1">
            <wp:simplePos x="0" y="0"/>
            <wp:positionH relativeFrom="column">
              <wp:posOffset>7655560</wp:posOffset>
            </wp:positionH>
            <wp:positionV relativeFrom="paragraph">
              <wp:posOffset>7620</wp:posOffset>
            </wp:positionV>
            <wp:extent cx="1894840" cy="1188085"/>
            <wp:effectExtent l="0" t="0" r="0" b="0"/>
            <wp:wrapNone/>
            <wp:docPr id="16"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17"/>
                    <a:stretch>
                      <a:fillRect/>
                    </a:stretch>
                  </pic:blipFill>
                  <pic:spPr>
                    <a:xfrm>
                      <a:off x="0" y="0"/>
                      <a:ext cx="1894840" cy="1188085"/>
                    </a:xfrm>
                    <a:prstGeom prst="rect">
                      <a:avLst/>
                    </a:prstGeom>
                  </pic:spPr>
                </pic:pic>
              </a:graphicData>
            </a:graphic>
          </wp:anchor>
        </w:drawing>
      </w:r>
      <w:r w:rsidRPr="005E7F8B">
        <w:rPr>
          <w:rFonts w:ascii="Tahoma" w:hAnsi="Tahoma" w:cs="Tahoma"/>
        </w:rPr>
        <w:t>Afin de prévenir tout litige, il est préférable d’avoir un écrit de l’employeur indiquant le principe du congé, sa durée, …</w:t>
      </w:r>
    </w:p>
    <w:p w:rsidR="005D3A6D" w:rsidRDefault="005D3A6D" w:rsidP="005D3A6D">
      <w:pPr>
        <w:spacing w:after="49"/>
        <w:ind w:right="76"/>
        <w:rPr>
          <w:rFonts w:ascii="Tahoma" w:hAnsi="Tahoma" w:cs="Tahoma"/>
        </w:rPr>
      </w:pPr>
    </w:p>
    <w:p w:rsidR="005D3A6D" w:rsidRPr="005E7F8B" w:rsidRDefault="00642DA9" w:rsidP="005D3A6D">
      <w:pPr>
        <w:pStyle w:val="Titre1"/>
        <w:rPr>
          <w:rFonts w:ascii="Tahoma" w:hAnsi="Tahoma" w:cs="Tahoma"/>
          <w:sz w:val="24"/>
          <w:szCs w:val="24"/>
        </w:rPr>
      </w:pPr>
      <w:bookmarkStart w:id="19" w:name="_Toc6241685"/>
      <w:r>
        <w:rPr>
          <w:rFonts w:ascii="Tahoma" w:hAnsi="Tahoma" w:cs="Tahoma"/>
          <w:noProof/>
        </w:rPr>
        <w:drawing>
          <wp:anchor distT="0" distB="0" distL="114300" distR="114300" simplePos="0" relativeHeight="251712512" behindDoc="0" locked="0" layoutInCell="1" allowOverlap="1" wp14:anchorId="25BB9844">
            <wp:simplePos x="0" y="0"/>
            <wp:positionH relativeFrom="margin">
              <wp:align>right</wp:align>
            </wp:positionH>
            <wp:positionV relativeFrom="paragraph">
              <wp:posOffset>132080</wp:posOffset>
            </wp:positionV>
            <wp:extent cx="2667000" cy="1333500"/>
            <wp:effectExtent l="0" t="0" r="0" b="0"/>
            <wp:wrapThrough wrapText="bothSides">
              <wp:wrapPolygon edited="0">
                <wp:start x="0" y="0"/>
                <wp:lineTo x="0" y="21291"/>
                <wp:lineTo x="21446" y="21291"/>
                <wp:lineTo x="21446"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RTT-sont-accordees-aux-salaries-soit-maniere-forfaitaire-soit-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7000" cy="1333500"/>
                    </a:xfrm>
                    <a:prstGeom prst="rect">
                      <a:avLst/>
                    </a:prstGeom>
                  </pic:spPr>
                </pic:pic>
              </a:graphicData>
            </a:graphic>
            <wp14:sizeRelH relativeFrom="margin">
              <wp14:pctWidth>0</wp14:pctWidth>
            </wp14:sizeRelH>
            <wp14:sizeRelV relativeFrom="margin">
              <wp14:pctHeight>0</wp14:pctHeight>
            </wp14:sizeRelV>
          </wp:anchor>
        </w:drawing>
      </w:r>
      <w:r w:rsidR="005D3A6D" w:rsidRPr="005E7F8B">
        <w:rPr>
          <w:rFonts w:ascii="Tahoma" w:hAnsi="Tahoma" w:cs="Tahoma"/>
          <w:sz w:val="24"/>
          <w:szCs w:val="24"/>
        </w:rPr>
        <w:t>LES JOURS DE RÉDUCTION DU TEMPS DE TRAVAIL (RTT)</w:t>
      </w:r>
      <w:bookmarkEnd w:id="19"/>
      <w:r w:rsidR="005D3A6D" w:rsidRPr="005E7F8B">
        <w:rPr>
          <w:rFonts w:ascii="Tahoma" w:eastAsia="Tahoma" w:hAnsi="Tahoma" w:cs="Tahoma"/>
          <w:sz w:val="24"/>
          <w:szCs w:val="24"/>
        </w:rPr>
        <w:t xml:space="preserve"> </w:t>
      </w:r>
    </w:p>
    <w:p w:rsidR="005D3A6D" w:rsidRPr="005E7F8B" w:rsidRDefault="005D3A6D" w:rsidP="005D3A6D">
      <w:pPr>
        <w:ind w:left="12" w:right="14"/>
        <w:rPr>
          <w:rFonts w:ascii="Tahoma" w:hAnsi="Tahoma" w:cs="Tahoma"/>
        </w:rPr>
      </w:pPr>
      <w:r w:rsidRPr="004C3153">
        <w:rPr>
          <w:rStyle w:val="Titre6Car"/>
          <w:u w:val="single"/>
        </w:rPr>
        <w:t>Pour les ingénieurs et</w:t>
      </w:r>
      <w:r w:rsidRPr="005E7F8B">
        <w:rPr>
          <w:rFonts w:ascii="Tahoma" w:hAnsi="Tahoma" w:cs="Tahoma"/>
          <w:u w:val="single" w:color="000000"/>
        </w:rPr>
        <w:t xml:space="preserve"> cadres</w:t>
      </w:r>
      <w:r w:rsidRPr="005E7F8B">
        <w:rPr>
          <w:rFonts w:ascii="Tahoma" w:hAnsi="Tahoma" w:cs="Tahoma"/>
        </w:rPr>
        <w:t xml:space="preserve"> 12 jours de RTT sur l’année civile à disposition des salariés.  </w:t>
      </w:r>
    </w:p>
    <w:p w:rsidR="005D3A6D" w:rsidRPr="005E7F8B" w:rsidRDefault="005D3A6D" w:rsidP="005D3A6D">
      <w:pPr>
        <w:spacing w:after="73"/>
        <w:ind w:left="12" w:right="14"/>
        <w:rPr>
          <w:rFonts w:ascii="Tahoma" w:hAnsi="Tahoma" w:cs="Tahoma"/>
        </w:rPr>
      </w:pPr>
      <w:r w:rsidRPr="005E7F8B">
        <w:rPr>
          <w:rFonts w:ascii="Tahoma" w:hAnsi="Tahoma" w:cs="Tahoma"/>
        </w:rPr>
        <w:t xml:space="preserve">Ne sont pas concernés : Les cadres qui par la nature de leurs fonctions et l’autonomie dont ils disposent sont assimilés à des cadres dirigeants, etc... </w:t>
      </w:r>
    </w:p>
    <w:p w:rsidR="005D3A6D" w:rsidRPr="005E7F8B" w:rsidRDefault="005D3A6D" w:rsidP="005D3A6D">
      <w:pPr>
        <w:spacing w:after="70"/>
        <w:ind w:left="12" w:right="14"/>
        <w:rPr>
          <w:rFonts w:ascii="Tahoma" w:hAnsi="Tahoma" w:cs="Tahoma"/>
        </w:rPr>
      </w:pPr>
      <w:r w:rsidRPr="004C3153">
        <w:rPr>
          <w:rStyle w:val="Titre6Car"/>
          <w:u w:val="single"/>
        </w:rPr>
        <w:t>Pour les non cadres (ouvriers et ATAM non-forfaits)</w:t>
      </w:r>
      <w:r w:rsidRPr="005E7F8B">
        <w:rPr>
          <w:rFonts w:ascii="Tahoma" w:hAnsi="Tahoma" w:cs="Tahoma"/>
          <w:u w:val="single" w:color="000000"/>
        </w:rPr>
        <w:t xml:space="preserve"> </w:t>
      </w:r>
      <w:r w:rsidRPr="005E7F8B">
        <w:rPr>
          <w:rFonts w:ascii="Tahoma" w:hAnsi="Tahoma" w:cs="Tahoma"/>
        </w:rPr>
        <w:t xml:space="preserve">: 6 à 12 jours de RTT selon l’horaire </w:t>
      </w:r>
      <w:r w:rsidR="009E3F98" w:rsidRPr="005E7F8B">
        <w:rPr>
          <w:rFonts w:ascii="Tahoma" w:hAnsi="Tahoma" w:cs="Tahoma"/>
        </w:rPr>
        <w:t>pratiqué.</w:t>
      </w:r>
      <w:r w:rsidR="009E3F98" w:rsidRPr="005D3A6D">
        <w:rPr>
          <w:rFonts w:ascii="Tahoma" w:hAnsi="Tahoma" w:cs="Tahoma"/>
        </w:rPr>
        <w:t xml:space="preserve"> Dans</w:t>
      </w:r>
      <w:r w:rsidRPr="005D3A6D">
        <w:rPr>
          <w:rFonts w:ascii="Tahoma" w:hAnsi="Tahoma" w:cs="Tahoma"/>
        </w:rPr>
        <w:t xml:space="preserve"> le cas d’ALSTOM de l’accord d’établissement RTT de 1999 prévoit un horaire de 36H par semaine générant 6 jours.</w:t>
      </w:r>
      <w:r w:rsidRPr="005E7F8B">
        <w:rPr>
          <w:rFonts w:ascii="Tahoma" w:hAnsi="Tahoma" w:cs="Tahoma"/>
        </w:rPr>
        <w:t xml:space="preserve"> </w:t>
      </w:r>
    </w:p>
    <w:p w:rsidR="005D3A6D" w:rsidRPr="005E7F8B" w:rsidRDefault="005D3A6D" w:rsidP="009E3F98">
      <w:pPr>
        <w:spacing w:after="2" w:line="237" w:lineRule="auto"/>
        <w:rPr>
          <w:rFonts w:ascii="Tahoma" w:hAnsi="Tahoma" w:cs="Tahoma"/>
        </w:rPr>
      </w:pPr>
      <w:r w:rsidRPr="004C3153">
        <w:rPr>
          <w:rStyle w:val="Titre6Car"/>
          <w:u w:val="single"/>
        </w:rPr>
        <w:t>Pour les ATAM forfaits « 37H »</w:t>
      </w:r>
      <w:r w:rsidRPr="005E7F8B">
        <w:rPr>
          <w:rFonts w:ascii="Tahoma" w:hAnsi="Tahoma" w:cs="Tahoma"/>
        </w:rPr>
        <w:t xml:space="preserve"> : 12 jours de RTT. La mise en place de forfaits pour des ATAM n’avait pas été prévue par les accords RTT d’entreprises et d’établissement, il en résulte de nombreux litiges à commencer par la prise en compte d’heures supplémentaires…</w:t>
      </w:r>
      <w:r w:rsidR="009E3F98">
        <w:rPr>
          <w:rFonts w:ascii="Tahoma" w:hAnsi="Tahoma" w:cs="Tahoma"/>
        </w:rPr>
        <w:t xml:space="preserve"> </w:t>
      </w:r>
      <w:r w:rsidRPr="005E7F8B">
        <w:rPr>
          <w:rFonts w:ascii="Tahoma" w:hAnsi="Tahoma" w:cs="Tahoma"/>
        </w:rPr>
        <w:t xml:space="preserve">leurs fonctions et l’autonomie dont ils disposent sont assimilés à des cadres dirigeants, etc... </w:t>
      </w:r>
    </w:p>
    <w:p w:rsidR="005D3A6D" w:rsidRPr="005E7F8B" w:rsidRDefault="005D3A6D" w:rsidP="009E3F98">
      <w:pPr>
        <w:spacing w:before="0" w:after="0" w:line="240" w:lineRule="auto"/>
        <w:ind w:left="12" w:right="14"/>
        <w:rPr>
          <w:rFonts w:ascii="Tahoma" w:hAnsi="Tahoma" w:cs="Tahoma"/>
        </w:rPr>
      </w:pPr>
      <w:r w:rsidRPr="004C3153">
        <w:rPr>
          <w:rStyle w:val="Titre6Car"/>
          <w:u w:val="single"/>
        </w:rPr>
        <w:t>Pour les non cadres (ouvriers et ATAM non-forfaits) :</w:t>
      </w:r>
      <w:r w:rsidRPr="005E7F8B">
        <w:rPr>
          <w:rFonts w:ascii="Tahoma" w:hAnsi="Tahoma" w:cs="Tahoma"/>
        </w:rPr>
        <w:t xml:space="preserve"> 6 à 12 jours de RTT selon l’horaire pratiqué.</w:t>
      </w:r>
    </w:p>
    <w:p w:rsidR="005D3A6D" w:rsidRPr="005E7F8B" w:rsidRDefault="005D3A6D" w:rsidP="009E3F98">
      <w:pPr>
        <w:spacing w:before="0" w:after="0" w:line="240" w:lineRule="auto"/>
        <w:ind w:left="12" w:right="14"/>
        <w:rPr>
          <w:rFonts w:ascii="Tahoma" w:hAnsi="Tahoma" w:cs="Tahoma"/>
        </w:rPr>
      </w:pPr>
      <w:r w:rsidRPr="005D3A6D">
        <w:rPr>
          <w:rFonts w:ascii="Tahoma" w:hAnsi="Tahoma" w:cs="Tahoma"/>
        </w:rPr>
        <w:t>Dans le cas d’ALSTOM de l’accord d’établissement RTT de 1999 prévoit un horaire de 36H par semaine générant 6 jours.</w:t>
      </w:r>
      <w:r w:rsidRPr="005E7F8B">
        <w:rPr>
          <w:rFonts w:ascii="Tahoma" w:hAnsi="Tahoma" w:cs="Tahoma"/>
        </w:rPr>
        <w:t xml:space="preserve"> </w:t>
      </w:r>
    </w:p>
    <w:p w:rsidR="005D3A6D" w:rsidRPr="005E7F8B" w:rsidRDefault="005D3A6D" w:rsidP="005D3A6D">
      <w:pPr>
        <w:spacing w:after="2" w:line="237" w:lineRule="auto"/>
        <w:rPr>
          <w:rFonts w:ascii="Tahoma" w:hAnsi="Tahoma" w:cs="Tahoma"/>
        </w:rPr>
      </w:pPr>
      <w:r w:rsidRPr="004C3153">
        <w:rPr>
          <w:rStyle w:val="Titre6Car"/>
          <w:u w:val="single"/>
        </w:rPr>
        <w:t>Pour les ATAM forfaits « 37H » :</w:t>
      </w:r>
      <w:r w:rsidRPr="005E7F8B">
        <w:rPr>
          <w:rFonts w:ascii="Tahoma" w:hAnsi="Tahoma" w:cs="Tahoma"/>
        </w:rPr>
        <w:t xml:space="preserve"> 12 jours de RTT. La mise en place de forfaits pour des ATAM n’avait pas été prévue par les accords RTT d’entreprises et d’établissement, il en résulte de nombreux litiges à commencer par la prise en compte d’heures supplémentaires…</w:t>
      </w:r>
    </w:p>
    <w:p w:rsidR="005D3A6D" w:rsidRPr="005E7F8B" w:rsidRDefault="005D3A6D" w:rsidP="005D3A6D">
      <w:pPr>
        <w:ind w:left="12" w:right="14"/>
        <w:rPr>
          <w:rFonts w:ascii="Tahoma" w:hAnsi="Tahoma" w:cs="Tahoma"/>
        </w:rPr>
      </w:pPr>
    </w:p>
    <w:p w:rsidR="005D3A6D" w:rsidRPr="005E7F8B" w:rsidRDefault="005D3A6D" w:rsidP="005D3A6D">
      <w:pPr>
        <w:pStyle w:val="Titre1"/>
        <w:rPr>
          <w:rFonts w:ascii="Tahoma" w:hAnsi="Tahoma" w:cs="Tahoma"/>
          <w:sz w:val="24"/>
          <w:szCs w:val="24"/>
        </w:rPr>
      </w:pPr>
      <w:bookmarkStart w:id="20" w:name="_Toc6241686"/>
      <w:r w:rsidRPr="005E7F8B">
        <w:rPr>
          <w:rFonts w:ascii="Tahoma" w:hAnsi="Tahoma" w:cs="Tahoma"/>
          <w:sz w:val="24"/>
          <w:szCs w:val="24"/>
        </w:rPr>
        <w:t>LE COMPTE ÉPARGNE TEMPS (CET)</w:t>
      </w:r>
      <w:bookmarkEnd w:id="20"/>
      <w:r w:rsidRPr="005E7F8B">
        <w:rPr>
          <w:rFonts w:ascii="Tahoma" w:eastAsia="Tahoma" w:hAnsi="Tahoma" w:cs="Tahoma"/>
          <w:sz w:val="24"/>
          <w:szCs w:val="24"/>
        </w:rPr>
        <w:t xml:space="preserve"> </w:t>
      </w:r>
    </w:p>
    <w:p w:rsidR="005D3A6D" w:rsidRPr="005E7F8B" w:rsidRDefault="005D3A6D" w:rsidP="009E3F98">
      <w:pPr>
        <w:spacing w:after="49" w:line="240" w:lineRule="auto"/>
        <w:ind w:right="14"/>
        <w:rPr>
          <w:rFonts w:ascii="Tahoma" w:hAnsi="Tahoma" w:cs="Tahoma"/>
        </w:rPr>
      </w:pPr>
      <w:r w:rsidRPr="005E7F8B">
        <w:rPr>
          <w:rFonts w:ascii="Tahoma" w:hAnsi="Tahoma" w:cs="Tahoma"/>
        </w:rPr>
        <w:t xml:space="preserve">Dans la pratique, pour éviter la « perte » de congé non-pris, un C.E.T. est automatiquement ouvert dès qu’un salarié de solde pas la totalité de ses droits à congés (CP, RTT, JCET posté, </w:t>
      </w:r>
      <w:r w:rsidRPr="005E7F8B">
        <w:rPr>
          <w:rFonts w:ascii="Tahoma" w:hAnsi="Tahoma" w:cs="Tahoma"/>
          <w:b/>
        </w:rPr>
        <w:t>…</w:t>
      </w:r>
      <w:r w:rsidRPr="005E7F8B">
        <w:rPr>
          <w:rFonts w:ascii="Tahoma" w:hAnsi="Tahoma" w:cs="Tahoma"/>
        </w:rPr>
        <w:t xml:space="preserve">). </w:t>
      </w:r>
    </w:p>
    <w:p w:rsidR="005D3A6D" w:rsidRPr="005E7F8B" w:rsidRDefault="005D3A6D" w:rsidP="009E3F98">
      <w:pPr>
        <w:spacing w:after="46" w:line="240" w:lineRule="auto"/>
        <w:ind w:right="14"/>
        <w:rPr>
          <w:rFonts w:ascii="Tahoma" w:hAnsi="Tahoma" w:cs="Tahoma"/>
        </w:rPr>
      </w:pPr>
      <w:r w:rsidRPr="005E7F8B">
        <w:rPr>
          <w:rFonts w:ascii="Tahoma" w:hAnsi="Tahoma" w:cs="Tahoma"/>
        </w:rPr>
        <w:t xml:space="preserve">Le salarié peut également y affecter des “éléments monétaires” (primes, etc...) dans certaines limites qui seront convertis en temps.  </w:t>
      </w:r>
    </w:p>
    <w:p w:rsidR="005D3A6D" w:rsidRDefault="005D3A6D" w:rsidP="009E3F98">
      <w:pPr>
        <w:spacing w:after="59" w:line="240" w:lineRule="auto"/>
        <w:ind w:right="14"/>
        <w:rPr>
          <w:rFonts w:ascii="Tahoma" w:hAnsi="Tahoma" w:cs="Tahoma"/>
        </w:rPr>
      </w:pPr>
      <w:r w:rsidRPr="005E7F8B">
        <w:rPr>
          <w:rFonts w:ascii="Tahoma" w:hAnsi="Tahoma" w:cs="Tahoma"/>
        </w:rPr>
        <w:t xml:space="preserve">Les droits acquis dans le CET peuvent être utilisés pour: </w:t>
      </w:r>
    </w:p>
    <w:p w:rsidR="005D3A6D" w:rsidRPr="009E3F98" w:rsidRDefault="005D3A6D" w:rsidP="009E3F98">
      <w:pPr>
        <w:pStyle w:val="Paragraphedeliste"/>
        <w:numPr>
          <w:ilvl w:val="0"/>
          <w:numId w:val="19"/>
        </w:numPr>
        <w:spacing w:after="59" w:line="240" w:lineRule="auto"/>
        <w:ind w:right="14"/>
        <w:rPr>
          <w:rFonts w:ascii="Tahoma" w:hAnsi="Tahoma" w:cs="Tahoma"/>
        </w:rPr>
      </w:pPr>
      <w:r w:rsidRPr="009E3F98">
        <w:rPr>
          <w:rFonts w:ascii="Tahoma" w:hAnsi="Tahoma" w:cs="Tahoma"/>
        </w:rPr>
        <w:t xml:space="preserve">Un congé de Fin de Carrière (avec abondement de l'employeur) Un congé pour convenance personnelle dont la prise est possible par demi-journée. </w:t>
      </w:r>
    </w:p>
    <w:p w:rsidR="005D3A6D" w:rsidRPr="009E3F98" w:rsidRDefault="005D3A6D" w:rsidP="009E3F98">
      <w:pPr>
        <w:pStyle w:val="Paragraphedeliste"/>
        <w:numPr>
          <w:ilvl w:val="0"/>
          <w:numId w:val="19"/>
        </w:numPr>
        <w:spacing w:after="59" w:line="240" w:lineRule="auto"/>
        <w:ind w:right="14"/>
        <w:rPr>
          <w:rFonts w:ascii="Tahoma" w:hAnsi="Tahoma" w:cs="Tahoma"/>
        </w:rPr>
      </w:pPr>
      <w:r w:rsidRPr="009E3F98">
        <w:rPr>
          <w:rFonts w:ascii="Tahoma" w:hAnsi="Tahoma" w:cs="Tahoma"/>
        </w:rPr>
        <w:lastRenderedPageBreak/>
        <w:t xml:space="preserve">Versement dans le PERCO: </w:t>
      </w:r>
    </w:p>
    <w:p w:rsidR="005D3A6D" w:rsidRPr="009E3F98" w:rsidRDefault="005D3A6D" w:rsidP="009E3F98">
      <w:pPr>
        <w:pStyle w:val="Paragraphedeliste"/>
        <w:numPr>
          <w:ilvl w:val="0"/>
          <w:numId w:val="19"/>
        </w:numPr>
        <w:spacing w:after="59" w:line="240" w:lineRule="auto"/>
        <w:ind w:right="14"/>
        <w:rPr>
          <w:rFonts w:ascii="Tahoma" w:hAnsi="Tahoma" w:cs="Tahoma"/>
        </w:rPr>
      </w:pPr>
      <w:r w:rsidRPr="009E3F98">
        <w:rPr>
          <w:rFonts w:ascii="Tahoma" w:hAnsi="Tahoma" w:cs="Tahoma"/>
        </w:rPr>
        <w:t>Les jours de RTT mis sur le CET peuvent être utilisés pour alimenter le plan d’épargne pour la retraite collectif (PERCO).  Un passage à temps partiel (dans les mêmes conditions de le congé de fin de carrière).Etc...</w:t>
      </w:r>
    </w:p>
    <w:p w:rsidR="005D3A6D" w:rsidRPr="005E7F8B" w:rsidRDefault="009E3F98" w:rsidP="005D3A6D">
      <w:pPr>
        <w:spacing w:line="259" w:lineRule="auto"/>
        <w:rPr>
          <w:rFonts w:ascii="Tahoma" w:hAnsi="Tahoma" w:cs="Tahoma"/>
        </w:rPr>
      </w:pPr>
      <w:r>
        <w:rPr>
          <w:rFonts w:ascii="&amp;quot" w:hAnsi="&amp;quot"/>
          <w:noProof/>
          <w:color w:val="000000"/>
          <w:sz w:val="21"/>
          <w:szCs w:val="21"/>
        </w:rPr>
        <w:drawing>
          <wp:anchor distT="0" distB="0" distL="114300" distR="114300" simplePos="0" relativeHeight="251704320" behindDoc="1" locked="0" layoutInCell="1" allowOverlap="1" wp14:anchorId="2E5CFD58" wp14:editId="406FF787">
            <wp:simplePos x="0" y="0"/>
            <wp:positionH relativeFrom="margin">
              <wp:align>left</wp:align>
            </wp:positionH>
            <wp:positionV relativeFrom="paragraph">
              <wp:posOffset>41486</wp:posOffset>
            </wp:positionV>
            <wp:extent cx="381003" cy="525780"/>
            <wp:effectExtent l="0" t="0" r="0" b="7620"/>
            <wp:wrapTight wrapText="bothSides">
              <wp:wrapPolygon edited="0">
                <wp:start x="0" y="0"/>
                <wp:lineTo x="0" y="21130"/>
                <wp:lineTo x="20520" y="21130"/>
                <wp:lineTo x="20520" y="0"/>
                <wp:lineTo x="0" y="0"/>
              </wp:wrapPolygon>
            </wp:wrapTight>
            <wp:docPr id="514" name="Image 514" descr="Pictogramme org.jahia.services.content.JCRValueWrapperImpl@ab526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381003" cy="525780"/>
                    </a:xfrm>
                    <a:prstGeom prst="rect">
                      <a:avLst/>
                    </a:prstGeom>
                    <a:noFill/>
                    <a:ln>
                      <a:noFill/>
                      <a:prstDash/>
                    </a:ln>
                  </pic:spPr>
                </pic:pic>
              </a:graphicData>
            </a:graphic>
          </wp:anchor>
        </w:drawing>
      </w:r>
      <w:r w:rsidR="005D3A6D" w:rsidRPr="005E7F8B">
        <w:rPr>
          <w:rFonts w:ascii="Tahoma" w:hAnsi="Tahoma" w:cs="Tahoma"/>
          <w:b/>
        </w:rPr>
        <w:t xml:space="preserve">A noter : </w:t>
      </w:r>
      <w:r w:rsidR="005D3A6D" w:rsidRPr="005E7F8B">
        <w:rPr>
          <w:rFonts w:ascii="Tahoma" w:hAnsi="Tahoma" w:cs="Tahoma"/>
        </w:rPr>
        <w:t xml:space="preserve"> </w:t>
      </w:r>
    </w:p>
    <w:p w:rsidR="005D3A6D" w:rsidRPr="009E3F98" w:rsidRDefault="005D3A6D" w:rsidP="009E3F98">
      <w:pPr>
        <w:spacing w:after="0" w:line="241" w:lineRule="auto"/>
        <w:ind w:left="709" w:right="14"/>
        <w:rPr>
          <w:rFonts w:ascii="Arial" w:hAnsi="Arial" w:cs="Arial"/>
        </w:rPr>
      </w:pPr>
      <w:r w:rsidRPr="009E3F98">
        <w:rPr>
          <w:rFonts w:ascii="Arial" w:hAnsi="Arial" w:cs="Arial"/>
        </w:rPr>
        <w:t xml:space="preserve">Le salarié peut, sous réserve d’en informer la Direction des Ressources Humaines 15 jours avant la fin du mois au cours duquel il souhaite disposer de “son épargne”, monétiser ses avoirs dans la limite de 22 jours par ans sauf situations particulières. </w:t>
      </w:r>
    </w:p>
    <w:p w:rsidR="005D3A6D" w:rsidRPr="009E3F98" w:rsidRDefault="005D3A6D" w:rsidP="009E3F98">
      <w:pPr>
        <w:spacing w:after="0" w:line="240" w:lineRule="auto"/>
        <w:ind w:left="709" w:right="14"/>
        <w:rPr>
          <w:rFonts w:ascii="Arial" w:hAnsi="Arial" w:cs="Arial"/>
        </w:rPr>
      </w:pPr>
      <w:r w:rsidRPr="009E3F98">
        <w:rPr>
          <w:rFonts w:ascii="Arial" w:hAnsi="Arial" w:cs="Arial"/>
        </w:rPr>
        <w:t xml:space="preserve">Les possibilités par l'employeur ou le hiérarchique de refus d'un congé de CET sont limités. </w:t>
      </w:r>
    </w:p>
    <w:p w:rsidR="005D3A6D" w:rsidRPr="009E3F98" w:rsidRDefault="005D3A6D" w:rsidP="009E3F98">
      <w:pPr>
        <w:spacing w:after="0" w:line="240" w:lineRule="auto"/>
        <w:ind w:left="709" w:right="14"/>
        <w:rPr>
          <w:rFonts w:ascii="Arial" w:hAnsi="Arial" w:cs="Arial"/>
        </w:rPr>
      </w:pPr>
      <w:r w:rsidRPr="009E3F98">
        <w:rPr>
          <w:rFonts w:ascii="Arial" w:hAnsi="Arial" w:cs="Arial"/>
        </w:rPr>
        <w:t xml:space="preserve">Dans le cas d'un congé pour convenance personnelle le hiérarchique à 48H pour répondre et tout refus doit être motivé. </w:t>
      </w:r>
    </w:p>
    <w:p w:rsidR="00223A3D" w:rsidRPr="004C3153" w:rsidRDefault="005D3A6D" w:rsidP="004C3153">
      <w:pPr>
        <w:pStyle w:val="Paragraphedeliste"/>
        <w:ind w:left="709" w:right="107"/>
        <w:rPr>
          <w:rFonts w:ascii="Arial" w:hAnsi="Arial" w:cs="Arial"/>
        </w:rPr>
      </w:pPr>
      <w:r w:rsidRPr="009E3F98">
        <w:rPr>
          <w:rFonts w:ascii="Arial" w:hAnsi="Arial" w:cs="Arial"/>
        </w:rPr>
        <w:t>D’après l’uniformisation des règles de paies signé en 2008, les« reliquats de congés» acquis ne seront pas supprimés pour les personnes en expatriation, en arrêt maladie, en arrêt lié à un accident du travail ou pour les femmes en congé maternité si ces reliquats trouvent leur origine dans l'un de ces motifs.</w:t>
      </w:r>
    </w:p>
    <w:p w:rsidR="00223A3D" w:rsidRPr="005E7F8B" w:rsidRDefault="00223A3D" w:rsidP="00713906">
      <w:pPr>
        <w:pStyle w:val="Titre2"/>
      </w:pPr>
      <w:bookmarkStart w:id="21" w:name="_Toc6241687"/>
      <w:r w:rsidRPr="005E7F8B">
        <w:rPr>
          <w:noProof/>
        </w:rPr>
        <w:drawing>
          <wp:anchor distT="0" distB="0" distL="114300" distR="114300" simplePos="0" relativeHeight="251665408" behindDoc="1" locked="0" layoutInCell="1" allowOverlap="1" wp14:anchorId="1ACA7D67" wp14:editId="6539A9DD">
            <wp:simplePos x="0" y="0"/>
            <wp:positionH relativeFrom="column">
              <wp:posOffset>4911090</wp:posOffset>
            </wp:positionH>
            <wp:positionV relativeFrom="paragraph">
              <wp:posOffset>47163</wp:posOffset>
            </wp:positionV>
            <wp:extent cx="1882140" cy="457200"/>
            <wp:effectExtent l="0" t="0" r="3810" b="0"/>
            <wp:wrapTight wrapText="bothSides">
              <wp:wrapPolygon edited="0">
                <wp:start x="0" y="0"/>
                <wp:lineTo x="0" y="20700"/>
                <wp:lineTo x="21425" y="20700"/>
                <wp:lineTo x="2142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QKR3FGTF.jpg"/>
                    <pic:cNvPicPr/>
                  </pic:nvPicPr>
                  <pic:blipFill rotWithShape="1">
                    <a:blip r:embed="rId20">
                      <a:extLst>
                        <a:ext uri="{28A0092B-C50C-407E-A947-70E740481C1C}">
                          <a14:useLocalDpi xmlns:a14="http://schemas.microsoft.com/office/drawing/2010/main" val="0"/>
                        </a:ext>
                      </a:extLst>
                    </a:blip>
                    <a:srcRect t="766" r="1200" b="76268"/>
                    <a:stretch/>
                  </pic:blipFill>
                  <pic:spPr bwMode="auto">
                    <a:xfrm>
                      <a:off x="0" y="0"/>
                      <a:ext cx="188214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F8B">
        <w:rPr>
          <w:rFonts w:eastAsia="Verdana"/>
          <w:u w:color="000000"/>
        </w:rPr>
        <w:t>REPOS COMPENSATEUR SUITE A UN VOYAGE</w:t>
      </w:r>
      <w:bookmarkEnd w:id="21"/>
      <w:r w:rsidRPr="005E7F8B">
        <w:t xml:space="preserve"> </w:t>
      </w:r>
    </w:p>
    <w:p w:rsidR="005D3A6D" w:rsidRPr="00EC1AC4" w:rsidRDefault="00223A3D" w:rsidP="00EC1AC4">
      <w:pPr>
        <w:spacing w:line="287" w:lineRule="auto"/>
        <w:ind w:right="1692"/>
        <w:rPr>
          <w:rFonts w:ascii="Tahoma" w:hAnsi="Tahoma" w:cs="Tahoma"/>
        </w:rPr>
      </w:pPr>
      <w:r w:rsidRPr="005E7F8B">
        <w:rPr>
          <w:rFonts w:ascii="Tahoma" w:hAnsi="Tahoma" w:cs="Tahoma"/>
        </w:rPr>
        <w:t>Le temps de déplacement professionnel pour se rendre sur le lieu d’exécution du contrat de travail (chez un client par exemple) n’est pas du temps de travail effectif, cependant, lorsque le temps de déplacement dépasse le temps normal de trajet entre le domicile et le lieu de travail. Le temps de trajet entre deux lieux de travail (entre le siège de l’entreprise et le site d’intervention ou entre deux lieux de mission) constitue lui du temps de travail effectif.</w:t>
      </w:r>
    </w:p>
    <w:p w:rsidR="005D3A6D" w:rsidRPr="005E7F8B" w:rsidRDefault="005D3A6D" w:rsidP="00713906">
      <w:pPr>
        <w:pStyle w:val="Titre2"/>
      </w:pPr>
      <w:bookmarkStart w:id="22" w:name="_Toc6241688"/>
      <w:r w:rsidRPr="005E7F8B">
        <w:t>LE REPOS COMPENSATEUR EQUIVALENT</w:t>
      </w:r>
      <w:bookmarkEnd w:id="22"/>
      <w:r w:rsidRPr="005E7F8B">
        <w:rPr>
          <w:rFonts w:eastAsia="Tahoma"/>
        </w:rPr>
        <w:t xml:space="preserve"> </w:t>
      </w:r>
    </w:p>
    <w:p w:rsidR="005D3A6D" w:rsidRPr="005E7F8B" w:rsidRDefault="005D3A6D" w:rsidP="005D3A6D">
      <w:pPr>
        <w:spacing w:after="14" w:line="259" w:lineRule="auto"/>
        <w:rPr>
          <w:rFonts w:ascii="Tahoma" w:hAnsi="Tahoma" w:cs="Tahoma"/>
        </w:rPr>
      </w:pPr>
      <w:r w:rsidRPr="005E7F8B">
        <w:rPr>
          <w:rFonts w:ascii="Tahoma" w:hAnsi="Tahoma" w:cs="Tahoma"/>
        </w:rPr>
        <w:t xml:space="preserve">(Appelé autrefois le Repos Compensateur de remplacement) </w:t>
      </w:r>
    </w:p>
    <w:p w:rsidR="005D3A6D" w:rsidRPr="005E7F8B" w:rsidRDefault="005D3A6D" w:rsidP="005D3A6D">
      <w:pPr>
        <w:spacing w:after="46"/>
        <w:ind w:left="12" w:right="80"/>
        <w:rPr>
          <w:rFonts w:ascii="Tahoma" w:hAnsi="Tahoma" w:cs="Tahoma"/>
          <w:b/>
        </w:rPr>
      </w:pPr>
      <w:r w:rsidRPr="005E7F8B">
        <w:rPr>
          <w:rFonts w:ascii="Tahoma" w:hAnsi="Tahoma" w:cs="Tahoma"/>
        </w:rPr>
        <w:t>Concrètement, au lieu d’être payé de ses heures supplémentaires et des majorations le salarié peut, s’il le veut, avec accord de son hiérarchique, récupérer ses heures ainsi que les majorations converties en temps.</w:t>
      </w:r>
      <w:r w:rsidRPr="005E7F8B">
        <w:rPr>
          <w:rFonts w:ascii="Tahoma" w:hAnsi="Tahoma" w:cs="Tahoma"/>
          <w:b/>
        </w:rPr>
        <w:t xml:space="preserve"> </w:t>
      </w:r>
    </w:p>
    <w:p w:rsidR="005D3A6D" w:rsidRPr="005D3A6D" w:rsidRDefault="005D3A6D" w:rsidP="005D3A6D">
      <w:pPr>
        <w:pStyle w:val="Paragraphedeliste"/>
        <w:rPr>
          <w:rFonts w:ascii="Tahoma" w:hAnsi="Tahoma" w:cs="Tahoma"/>
        </w:rPr>
      </w:pPr>
    </w:p>
    <w:p w:rsidR="005D3A6D" w:rsidRPr="005E7F8B" w:rsidRDefault="005D3A6D" w:rsidP="005D3A6D">
      <w:pPr>
        <w:pStyle w:val="Titre1"/>
        <w:rPr>
          <w:rFonts w:ascii="Tahoma" w:hAnsi="Tahoma" w:cs="Tahoma"/>
          <w:sz w:val="24"/>
          <w:szCs w:val="24"/>
        </w:rPr>
      </w:pPr>
      <w:bookmarkStart w:id="23" w:name="_Toc6241689"/>
      <w:r w:rsidRPr="005E7F8B">
        <w:rPr>
          <w:rFonts w:ascii="Tahoma" w:hAnsi="Tahoma" w:cs="Tahoma"/>
          <w:sz w:val="24"/>
          <w:szCs w:val="24"/>
        </w:rPr>
        <w:t>ACCIDENT DU TRAVAIL</w:t>
      </w:r>
      <w:bookmarkEnd w:id="23"/>
      <w:r w:rsidRPr="005E7F8B">
        <w:rPr>
          <w:rFonts w:ascii="Tahoma" w:eastAsia="Tahoma" w:hAnsi="Tahoma" w:cs="Tahoma"/>
          <w:sz w:val="24"/>
          <w:szCs w:val="24"/>
        </w:rPr>
        <w:t xml:space="preserve"> </w:t>
      </w:r>
    </w:p>
    <w:p w:rsidR="005D3A6D" w:rsidRPr="005E7F8B" w:rsidRDefault="005D3A6D" w:rsidP="005D3A6D">
      <w:pPr>
        <w:spacing w:after="36" w:line="241" w:lineRule="auto"/>
        <w:ind w:right="8"/>
        <w:rPr>
          <w:rFonts w:ascii="Tahoma" w:hAnsi="Tahoma" w:cs="Tahoma"/>
        </w:rPr>
      </w:pPr>
      <w:r w:rsidRPr="005E7F8B">
        <w:rPr>
          <w:rFonts w:ascii="Tahoma" w:hAnsi="Tahoma" w:cs="Tahoma"/>
          <w:noProof/>
        </w:rPr>
        <w:drawing>
          <wp:anchor distT="0" distB="0" distL="114300" distR="114300" simplePos="0" relativeHeight="251667456" behindDoc="0" locked="0" layoutInCell="1" allowOverlap="0" wp14:anchorId="2BE2566D" wp14:editId="251A5FF4">
            <wp:simplePos x="0" y="0"/>
            <wp:positionH relativeFrom="margin">
              <wp:align>center</wp:align>
            </wp:positionH>
            <wp:positionV relativeFrom="paragraph">
              <wp:posOffset>327871</wp:posOffset>
            </wp:positionV>
            <wp:extent cx="1350645" cy="1452245"/>
            <wp:effectExtent l="0" t="0" r="1905" b="0"/>
            <wp:wrapSquare wrapText="bothSides"/>
            <wp:docPr id="5"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21"/>
                    <a:stretch>
                      <a:fillRect/>
                    </a:stretch>
                  </pic:blipFill>
                  <pic:spPr>
                    <a:xfrm>
                      <a:off x="0" y="0"/>
                      <a:ext cx="1350645" cy="1452245"/>
                    </a:xfrm>
                    <a:prstGeom prst="rect">
                      <a:avLst/>
                    </a:prstGeom>
                  </pic:spPr>
                </pic:pic>
              </a:graphicData>
            </a:graphic>
          </wp:anchor>
        </w:drawing>
      </w:r>
      <w:r w:rsidRPr="005E7F8B">
        <w:rPr>
          <w:rFonts w:ascii="Tahoma" w:hAnsi="Tahoma" w:cs="Tahoma"/>
        </w:rPr>
        <w:t xml:space="preserve">Le salarié victime d'un accident du travail est tenu de déclarer son accident auprès de son employeur et de faire constater ses blessures par un médecin afin de bénéficier de la prise en charge de ses soins. </w:t>
      </w:r>
    </w:p>
    <w:p w:rsidR="005D3A6D" w:rsidRPr="005E7F8B" w:rsidRDefault="005D3A6D" w:rsidP="005D3A6D">
      <w:pPr>
        <w:spacing w:after="36" w:line="241" w:lineRule="auto"/>
        <w:ind w:right="8"/>
        <w:rPr>
          <w:rFonts w:ascii="Tahoma" w:hAnsi="Tahoma" w:cs="Tahoma"/>
        </w:rPr>
      </w:pPr>
      <w:r w:rsidRPr="005E7F8B">
        <w:rPr>
          <w:rFonts w:ascii="Tahoma" w:hAnsi="Tahoma" w:cs="Tahoma"/>
        </w:rPr>
        <w:t xml:space="preserve">En cas de rechute, le salarié doit déclarer lui-même sa rechute à sa CPAM. </w:t>
      </w:r>
    </w:p>
    <w:p w:rsidR="005D3A6D" w:rsidRPr="005E7F8B" w:rsidRDefault="005D3A6D" w:rsidP="005D3A6D">
      <w:pPr>
        <w:spacing w:after="36" w:line="241" w:lineRule="auto"/>
        <w:ind w:right="8"/>
        <w:rPr>
          <w:rFonts w:ascii="Tahoma" w:hAnsi="Tahoma" w:cs="Tahoma"/>
        </w:rPr>
      </w:pPr>
      <w:r w:rsidRPr="004C3153">
        <w:rPr>
          <w:rFonts w:ascii="Tahoma" w:hAnsi="Tahoma" w:cs="Tahoma"/>
          <w:u w:val="single" w:color="000000"/>
        </w:rPr>
        <w:t>Déclaration à l'employeur :</w:t>
      </w:r>
      <w:r w:rsidRPr="004C3153">
        <w:rPr>
          <w:rFonts w:ascii="Tahoma" w:hAnsi="Tahoma" w:cs="Tahoma"/>
        </w:rPr>
        <w:t xml:space="preserve"> Le salarié victime d'un accident sur son lieu de travail ou sur le trajet qui le mène à son travail (aller ou retour), doit en informer ou en faire informer son employeur, dans la journée où l'accident se produit ou au plus tard dans les 24 heures. Si elle ne peut pas être faite sur le lieu de l'accident, cette information doit être effectuée par lettre recommandée.</w:t>
      </w:r>
      <w:r w:rsidRPr="005E7F8B">
        <w:rPr>
          <w:rFonts w:ascii="Tahoma" w:hAnsi="Tahoma" w:cs="Tahoma"/>
        </w:rPr>
        <w:t xml:space="preserve"> </w:t>
      </w:r>
    </w:p>
    <w:p w:rsidR="005D3A6D" w:rsidRPr="005E7F8B" w:rsidRDefault="005D3A6D" w:rsidP="005D3A6D">
      <w:pPr>
        <w:spacing w:after="29"/>
        <w:ind w:right="83"/>
        <w:rPr>
          <w:rFonts w:ascii="Tahoma" w:hAnsi="Tahoma" w:cs="Tahoma"/>
        </w:rPr>
      </w:pPr>
      <w:r w:rsidRPr="005E7F8B">
        <w:rPr>
          <w:rFonts w:ascii="Tahoma" w:hAnsi="Tahoma" w:cs="Tahoma"/>
        </w:rPr>
        <w:t>En cas de prolongation de l'arrêt de travail, le médecin établit des certificats de prolongation. Une fois la blessure guérie ou consolidée, le médecin établit un certificat médical définitif décrivant les séquelles éventuelles de l'accident.</w:t>
      </w:r>
      <w:r w:rsidRPr="005E7F8B">
        <w:rPr>
          <w:rFonts w:ascii="Tahoma" w:hAnsi="Tahoma" w:cs="Tahoma"/>
          <w:b/>
        </w:rPr>
        <w:t xml:space="preserve"> </w:t>
      </w:r>
    </w:p>
    <w:p w:rsidR="005D3A6D" w:rsidRPr="005E7F8B" w:rsidRDefault="005D3A6D" w:rsidP="005D3A6D">
      <w:pPr>
        <w:spacing w:line="287" w:lineRule="auto"/>
        <w:ind w:right="1692"/>
        <w:rPr>
          <w:rFonts w:ascii="Tahoma" w:hAnsi="Tahoma" w:cs="Tahoma"/>
          <w:b/>
        </w:rPr>
      </w:pPr>
      <w:r w:rsidRPr="005E7F8B">
        <w:rPr>
          <w:rFonts w:ascii="Tahoma" w:hAnsi="Tahoma" w:cs="Tahoma"/>
          <w:b/>
        </w:rPr>
        <w:t xml:space="preserve">Important </w:t>
      </w:r>
    </w:p>
    <w:p w:rsidR="005D3A6D" w:rsidRPr="005E7F8B" w:rsidRDefault="005D3A6D" w:rsidP="005D3A6D">
      <w:pPr>
        <w:spacing w:after="29"/>
        <w:ind w:right="83"/>
        <w:rPr>
          <w:rFonts w:ascii="Tahoma" w:hAnsi="Tahoma" w:cs="Tahoma"/>
        </w:rPr>
      </w:pPr>
      <w:r w:rsidRPr="005E7F8B">
        <w:rPr>
          <w:rFonts w:ascii="Tahoma" w:hAnsi="Tahoma" w:cs="Tahoma"/>
        </w:rPr>
        <w:t xml:space="preserve">Dans le cas où </w:t>
      </w:r>
      <w:r w:rsidRPr="00EC1AC4">
        <w:rPr>
          <w:rFonts w:ascii="Tahoma" w:hAnsi="Tahoma" w:cs="Tahoma"/>
        </w:rPr>
        <w:t>le salarié constate que l'employeur n'a pas fait la déclaration</w:t>
      </w:r>
      <w:r w:rsidRPr="005E7F8B">
        <w:rPr>
          <w:rFonts w:ascii="Tahoma" w:hAnsi="Tahoma" w:cs="Tahoma"/>
        </w:rPr>
        <w:t xml:space="preserve">, il peut déclarer lui-même son accident à sa CPAM dans les 2 ans qui suivent l'accident. </w:t>
      </w:r>
    </w:p>
    <w:p w:rsidR="005D3A6D" w:rsidRDefault="005D3A6D" w:rsidP="005D3A6D">
      <w:pPr>
        <w:spacing w:line="259" w:lineRule="auto"/>
        <w:ind w:right="98"/>
        <w:rPr>
          <w:rFonts w:ascii="Tahoma" w:hAnsi="Tahoma" w:cs="Tahoma"/>
        </w:rPr>
      </w:pPr>
      <w:r w:rsidRPr="005E7F8B">
        <w:rPr>
          <w:rFonts w:ascii="Tahoma" w:hAnsi="Tahoma" w:cs="Tahoma"/>
          <w:b/>
        </w:rPr>
        <w:t xml:space="preserve">PRISE EN CHARGE DES FRAIS MEDICAUX : </w:t>
      </w:r>
      <w:r w:rsidRPr="005E7F8B">
        <w:rPr>
          <w:rFonts w:ascii="Tahoma" w:hAnsi="Tahoma" w:cs="Tahoma"/>
        </w:rPr>
        <w:t>L'employeur remet au salarié une feuille d'accident destinée à lui permettre de bénéficier de la gratuité des soins. Le salarié doit présenter cette feuille à chaque professionnel de santé (médecin, infirmier, kinésithérapeute, pharmacien, etc.).</w:t>
      </w:r>
    </w:p>
    <w:p w:rsidR="00AD6527" w:rsidRDefault="00AD6527" w:rsidP="005D3A6D">
      <w:pPr>
        <w:spacing w:line="259" w:lineRule="auto"/>
        <w:ind w:right="98"/>
        <w:rPr>
          <w:rFonts w:ascii="Tahoma" w:hAnsi="Tahoma" w:cs="Tahoma"/>
        </w:rPr>
      </w:pPr>
    </w:p>
    <w:p w:rsidR="00AD6527" w:rsidRDefault="00AD6527" w:rsidP="005D3A6D">
      <w:pPr>
        <w:spacing w:line="259" w:lineRule="auto"/>
        <w:ind w:right="98"/>
        <w:rPr>
          <w:rFonts w:ascii="Tahoma" w:hAnsi="Tahoma" w:cs="Tahoma"/>
        </w:rPr>
      </w:pPr>
    </w:p>
    <w:p w:rsidR="005D3A6D" w:rsidRPr="005E7F8B" w:rsidRDefault="005D3A6D" w:rsidP="005D3A6D">
      <w:pPr>
        <w:pStyle w:val="Titre1"/>
        <w:rPr>
          <w:rFonts w:ascii="Tahoma" w:hAnsi="Tahoma" w:cs="Tahoma"/>
          <w:sz w:val="24"/>
          <w:szCs w:val="24"/>
        </w:rPr>
      </w:pPr>
      <w:bookmarkStart w:id="24" w:name="_Toc6241690"/>
      <w:r w:rsidRPr="005E7F8B">
        <w:rPr>
          <w:rFonts w:ascii="Tahoma" w:hAnsi="Tahoma" w:cs="Tahoma"/>
          <w:sz w:val="24"/>
          <w:szCs w:val="24"/>
        </w:rPr>
        <w:lastRenderedPageBreak/>
        <w:t>L’ARRÊT MALADIE</w:t>
      </w:r>
      <w:bookmarkEnd w:id="24"/>
      <w:r w:rsidRPr="005E7F8B">
        <w:rPr>
          <w:rFonts w:ascii="Tahoma" w:eastAsia="Tahoma" w:hAnsi="Tahoma" w:cs="Tahoma"/>
          <w:sz w:val="24"/>
          <w:szCs w:val="24"/>
        </w:rPr>
        <w:t xml:space="preserve"> </w:t>
      </w:r>
    </w:p>
    <w:p w:rsidR="005D3A6D" w:rsidRPr="005E7F8B" w:rsidRDefault="005D3A6D" w:rsidP="00EC1AC4">
      <w:pPr>
        <w:pStyle w:val="Titre5"/>
      </w:pPr>
      <w:r w:rsidRPr="005E7F8B">
        <w:t xml:space="preserve">En cas de maladie </w:t>
      </w:r>
    </w:p>
    <w:p w:rsidR="005D3A6D" w:rsidRPr="005E7F8B" w:rsidRDefault="005D3A6D" w:rsidP="005D3A6D">
      <w:pPr>
        <w:spacing w:after="27"/>
        <w:ind w:right="108"/>
        <w:rPr>
          <w:rFonts w:ascii="Tahoma" w:hAnsi="Tahoma" w:cs="Tahoma"/>
        </w:rPr>
      </w:pPr>
      <w:r w:rsidRPr="005E7F8B">
        <w:rPr>
          <w:rFonts w:ascii="Tahoma" w:hAnsi="Tahoma" w:cs="Tahoma"/>
        </w:rPr>
        <w:t xml:space="preserve">En cas de maladie, le salarié bénéficie d'un arrêt de travail sur présentation d'un avis d'arrêt de travail établi par un médecin. </w:t>
      </w:r>
    </w:p>
    <w:p w:rsidR="005D3A6D" w:rsidRPr="005E7F8B" w:rsidRDefault="005D3A6D" w:rsidP="00CD677D">
      <w:pPr>
        <w:ind w:right="14"/>
        <w:rPr>
          <w:rFonts w:ascii="Tahoma" w:hAnsi="Tahoma" w:cs="Tahoma"/>
        </w:rPr>
      </w:pPr>
      <w:r w:rsidRPr="005E7F8B">
        <w:rPr>
          <w:rFonts w:ascii="Tahoma" w:hAnsi="Tahoma" w:cs="Tahoma"/>
        </w:rPr>
        <w:t>Dans les 24 heures suivant la date d'interruption de travail, le salarié doit avertir son employeur. Dans les 48 heures suivant la date d'interruption de travail, le salarié doit transmettre les volets n° 1 et 2 de l'avis d'arrêt de travail à sa CPAM et le volet n° 3 à son employeur.  En cas de prolongation de son arrêt de travail, le salarié doit accomplir les mêmes démarches, dans les mêmes délais que pour l'arrêt initial.</w:t>
      </w:r>
    </w:p>
    <w:p w:rsidR="005D3A6D" w:rsidRPr="005E7F8B" w:rsidRDefault="005D3A6D" w:rsidP="005D3A6D">
      <w:pPr>
        <w:ind w:right="107"/>
        <w:rPr>
          <w:rFonts w:ascii="Tahoma" w:hAnsi="Tahoma" w:cs="Tahoma"/>
        </w:rPr>
      </w:pPr>
      <w:r w:rsidRPr="005E7F8B">
        <w:rPr>
          <w:rFonts w:ascii="Tahoma" w:hAnsi="Tahoma" w:cs="Tahoma"/>
          <w:b/>
        </w:rPr>
        <w:t>Notas :</w:t>
      </w:r>
      <w:r w:rsidRPr="005E7F8B">
        <w:rPr>
          <w:rFonts w:ascii="Tahoma" w:hAnsi="Tahoma" w:cs="Tahoma"/>
        </w:rPr>
        <w:t xml:space="preserve"> En cas d'arrêt de travail pour accident du travail ou maladie professionnelle, le salarié doit déclarer son accident ou sa maladie selon des procédures particulières. Les droits à congés payés sont maintenus 2 mois. </w:t>
      </w:r>
    </w:p>
    <w:p w:rsidR="005D3A6D" w:rsidRPr="005E7F8B" w:rsidRDefault="005D3A6D" w:rsidP="005D3A6D">
      <w:pPr>
        <w:ind w:right="107"/>
        <w:rPr>
          <w:rFonts w:ascii="Tahoma" w:hAnsi="Tahoma" w:cs="Tahoma"/>
        </w:rPr>
      </w:pPr>
      <w:r w:rsidRPr="005E7F8B">
        <w:rPr>
          <w:rFonts w:ascii="Tahoma" w:hAnsi="Tahoma" w:cs="Tahoma"/>
        </w:rPr>
        <w:t>D’après l’uniformisation des règles de paies signé en 2008, les jours CP qui n’ont pas pu être pris, pour cette période de transition il est précisé entre les parties que les</w:t>
      </w:r>
      <w:r w:rsidRPr="00713906">
        <w:rPr>
          <w:rFonts w:ascii="Tahoma" w:hAnsi="Tahoma" w:cs="Tahoma"/>
          <w:b/>
        </w:rPr>
        <w:t>« reliquats de congés» acquis ne seront pas supprimés</w:t>
      </w:r>
      <w:r w:rsidRPr="005E7F8B">
        <w:rPr>
          <w:rFonts w:ascii="Tahoma" w:hAnsi="Tahoma" w:cs="Tahoma"/>
        </w:rPr>
        <w:t xml:space="preserve"> pour les personnes en expatriation, en arrêt maladie, en arrêt lié à un accident du travail ou pour les femmes en congé maternité si ces reliquats trouvent leur origine dans l'un de ces motifs.</w:t>
      </w:r>
    </w:p>
    <w:p w:rsidR="005D3A6D" w:rsidRPr="005E7F8B" w:rsidRDefault="005D3A6D" w:rsidP="00713906">
      <w:pPr>
        <w:pStyle w:val="Titre2"/>
      </w:pPr>
      <w:bookmarkStart w:id="25" w:name="_Toc6241691"/>
      <w:r w:rsidRPr="005E7F8B">
        <w:t>AUTORISATION D’ABSENCES POUR HANDICAP</w:t>
      </w:r>
      <w:bookmarkEnd w:id="25"/>
      <w:r w:rsidRPr="005E7F8B">
        <w:rPr>
          <w:rFonts w:eastAsia="Tahoma"/>
        </w:rPr>
        <w:t xml:space="preserve"> </w:t>
      </w:r>
    </w:p>
    <w:p w:rsidR="005D3A6D" w:rsidRPr="005E7F8B" w:rsidRDefault="00EC1AC4" w:rsidP="005D3A6D">
      <w:pPr>
        <w:ind w:right="79"/>
        <w:rPr>
          <w:rFonts w:ascii="Tahoma" w:hAnsi="Tahoma" w:cs="Tahoma"/>
        </w:rPr>
      </w:pPr>
      <w:r w:rsidRPr="005E7F8B">
        <w:rPr>
          <w:rFonts w:ascii="Tahoma" w:hAnsi="Tahoma" w:cs="Tahoma"/>
          <w:noProof/>
        </w:rPr>
        <w:drawing>
          <wp:anchor distT="0" distB="0" distL="114300" distR="114300" simplePos="0" relativeHeight="251671552" behindDoc="0" locked="0" layoutInCell="1" allowOverlap="0" wp14:anchorId="32C62421" wp14:editId="7664E392">
            <wp:simplePos x="0" y="0"/>
            <wp:positionH relativeFrom="margin">
              <wp:posOffset>4611793</wp:posOffset>
            </wp:positionH>
            <wp:positionV relativeFrom="paragraph">
              <wp:posOffset>35348</wp:posOffset>
            </wp:positionV>
            <wp:extent cx="2072640" cy="1546860"/>
            <wp:effectExtent l="0" t="0" r="3810" b="0"/>
            <wp:wrapSquare wrapText="bothSides"/>
            <wp:docPr id="7" name="Pictu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22"/>
                    <a:stretch>
                      <a:fillRect/>
                    </a:stretch>
                  </pic:blipFill>
                  <pic:spPr>
                    <a:xfrm>
                      <a:off x="0" y="0"/>
                      <a:ext cx="2072640" cy="1546860"/>
                    </a:xfrm>
                    <a:prstGeom prst="rect">
                      <a:avLst/>
                    </a:prstGeom>
                  </pic:spPr>
                </pic:pic>
              </a:graphicData>
            </a:graphic>
            <wp14:sizeRelH relativeFrom="margin">
              <wp14:pctWidth>0</wp14:pctWidth>
            </wp14:sizeRelH>
            <wp14:sizeRelV relativeFrom="margin">
              <wp14:pctHeight>0</wp14:pctHeight>
            </wp14:sizeRelV>
          </wp:anchor>
        </w:drawing>
      </w:r>
      <w:r w:rsidR="005D3A6D" w:rsidRPr="005E7F8B">
        <w:rPr>
          <w:rFonts w:ascii="Tahoma" w:hAnsi="Tahoma" w:cs="Tahoma"/>
        </w:rPr>
        <w:t xml:space="preserve">L’accord « handicap » signé par FO prévoie pour les salariés handicapés (ou ayant un conjoint ou un enfant avec un handicap) qu’ils pourront bénéficier d’une autorisation d’absence indemnisée sur le temps de travail à concurrence de deux jours par an, sous réserve d’informer au préalable leur hiérarchie, dans les cas suivants : </w:t>
      </w:r>
    </w:p>
    <w:p w:rsidR="005D3A6D" w:rsidRPr="005E7F8B" w:rsidRDefault="005D3A6D" w:rsidP="005D3A6D">
      <w:pPr>
        <w:numPr>
          <w:ilvl w:val="0"/>
          <w:numId w:val="2"/>
        </w:numPr>
        <w:spacing w:after="27" w:line="240" w:lineRule="auto"/>
        <w:ind w:left="433" w:right="11" w:hanging="362"/>
        <w:rPr>
          <w:rFonts w:ascii="Tahoma" w:hAnsi="Tahoma" w:cs="Tahoma"/>
        </w:rPr>
      </w:pPr>
      <w:r w:rsidRPr="005E7F8B">
        <w:rPr>
          <w:rFonts w:ascii="Tahoma" w:hAnsi="Tahoma" w:cs="Tahoma"/>
        </w:rPr>
        <w:t xml:space="preserve">Examens liés à la situation d’handicap, </w:t>
      </w:r>
    </w:p>
    <w:p w:rsidR="005D3A6D" w:rsidRPr="005E7F8B" w:rsidRDefault="005D3A6D" w:rsidP="005D3A6D">
      <w:pPr>
        <w:numPr>
          <w:ilvl w:val="0"/>
          <w:numId w:val="2"/>
        </w:numPr>
        <w:spacing w:after="0" w:line="240" w:lineRule="auto"/>
        <w:ind w:left="443" w:right="14" w:hanging="362"/>
        <w:rPr>
          <w:rFonts w:ascii="Tahoma" w:hAnsi="Tahoma" w:cs="Tahoma"/>
        </w:rPr>
      </w:pPr>
      <w:r w:rsidRPr="005E7F8B">
        <w:rPr>
          <w:rFonts w:ascii="Tahoma" w:hAnsi="Tahoma" w:cs="Tahoma"/>
        </w:rPr>
        <w:t xml:space="preserve">Démarches administratives liées à leur situation de handicap,  </w:t>
      </w:r>
    </w:p>
    <w:p w:rsidR="005D3A6D" w:rsidRPr="005E7F8B" w:rsidRDefault="005D3A6D" w:rsidP="005D3A6D">
      <w:pPr>
        <w:numPr>
          <w:ilvl w:val="0"/>
          <w:numId w:val="2"/>
        </w:numPr>
        <w:spacing w:after="36" w:line="241" w:lineRule="auto"/>
        <w:ind w:left="433" w:right="11" w:hanging="362"/>
        <w:rPr>
          <w:rFonts w:ascii="Tahoma" w:hAnsi="Tahoma" w:cs="Tahoma"/>
        </w:rPr>
      </w:pPr>
      <w:r w:rsidRPr="005E7F8B">
        <w:rPr>
          <w:rFonts w:ascii="Tahoma" w:hAnsi="Tahoma" w:cs="Tahoma"/>
        </w:rPr>
        <w:t xml:space="preserve">Démarches auprès d’associations ou d’organismes spécialisés intervenant au niveau de l’insertion des personnes handicapées, </w:t>
      </w:r>
    </w:p>
    <w:p w:rsidR="005D3A6D" w:rsidRPr="005E7F8B" w:rsidRDefault="005D3A6D" w:rsidP="005D3A6D">
      <w:pPr>
        <w:numPr>
          <w:ilvl w:val="0"/>
          <w:numId w:val="2"/>
        </w:numPr>
        <w:spacing w:after="0" w:line="241" w:lineRule="auto"/>
        <w:ind w:left="433" w:right="11" w:hanging="362"/>
        <w:rPr>
          <w:rFonts w:ascii="Tahoma" w:hAnsi="Tahoma" w:cs="Tahoma"/>
        </w:rPr>
      </w:pPr>
      <w:r w:rsidRPr="005E7F8B">
        <w:rPr>
          <w:rFonts w:ascii="Tahoma" w:hAnsi="Tahoma" w:cs="Tahoma"/>
        </w:rPr>
        <w:t xml:space="preserve">Démarches auprès de fournisseurs ou prescripteurs d’appareillages liés à leur handicap, </w:t>
      </w:r>
    </w:p>
    <w:p w:rsidR="00C41E49" w:rsidRDefault="005D3A6D" w:rsidP="00C41E49">
      <w:pPr>
        <w:spacing w:after="47"/>
        <w:ind w:right="14"/>
        <w:rPr>
          <w:rFonts w:ascii="Tahoma" w:hAnsi="Tahoma" w:cs="Tahoma"/>
        </w:rPr>
      </w:pPr>
      <w:r w:rsidRPr="005E7F8B">
        <w:rPr>
          <w:rFonts w:ascii="Tahoma" w:hAnsi="Tahoma" w:cs="Tahoma"/>
        </w:rPr>
        <w:t xml:space="preserve">Ces absences peuvent être fractionnées en heures sur la base de la valeur forfaitaire d’une journée de travail en vigueur dans l’établissement. </w:t>
      </w:r>
    </w:p>
    <w:tbl>
      <w:tblPr>
        <w:tblStyle w:val="Grilledutableau"/>
        <w:tblpPr w:leftFromText="141" w:rightFromText="141" w:vertAnchor="page" w:horzAnchor="margin" w:tblpXSpec="right" w:tblpY="10301"/>
        <w:tblW w:w="0" w:type="auto"/>
        <w:tblLook w:val="04A0" w:firstRow="1" w:lastRow="0" w:firstColumn="1" w:lastColumn="0" w:noHBand="0" w:noVBand="1"/>
      </w:tblPr>
      <w:tblGrid>
        <w:gridCol w:w="1159"/>
      </w:tblGrid>
      <w:tr w:rsidR="004C3153" w:rsidTr="004C3153">
        <w:trPr>
          <w:cantSplit/>
          <w:trHeight w:val="4222"/>
        </w:trPr>
        <w:tc>
          <w:tcPr>
            <w:tcW w:w="1159" w:type="dxa"/>
            <w:tcBorders>
              <w:top w:val="nil"/>
              <w:left w:val="nil"/>
              <w:bottom w:val="nil"/>
              <w:right w:val="nil"/>
            </w:tcBorders>
            <w:textDirection w:val="tbRl"/>
          </w:tcPr>
          <w:p w:rsidR="004C3153" w:rsidRDefault="004C3153" w:rsidP="004C3153">
            <w:pPr>
              <w:pStyle w:val="Titre2"/>
              <w:outlineLvl w:val="1"/>
            </w:pPr>
            <w:bookmarkStart w:id="26" w:name="_Toc6241692"/>
            <w:r>
              <w:t>ACCORD EQVT</w:t>
            </w:r>
            <w:bookmarkEnd w:id="26"/>
          </w:p>
        </w:tc>
      </w:tr>
    </w:tbl>
    <w:p w:rsidR="00C41E49" w:rsidRPr="00C41E49" w:rsidRDefault="00C41E49" w:rsidP="002D0735">
      <w:pPr>
        <w:pStyle w:val="Titre2"/>
        <w:rPr>
          <w:rFonts w:ascii="Tahoma" w:hAnsi="Tahoma" w:cs="Tahoma"/>
        </w:rPr>
      </w:pPr>
      <w:r>
        <w:t>Accompagnement du salarié dans certaines situations familiales</w:t>
      </w:r>
    </w:p>
    <w:p w:rsidR="00C41E49" w:rsidRPr="00C41E49" w:rsidRDefault="00C41E49" w:rsidP="00C41E49">
      <w:pPr>
        <w:spacing w:line="240" w:lineRule="exact"/>
        <w:ind w:right="991"/>
        <w:jc w:val="both"/>
        <w:rPr>
          <w:rFonts w:ascii="Arial" w:hAnsi="Arial" w:cs="Arial"/>
        </w:rPr>
      </w:pPr>
      <w:r w:rsidRPr="00C41E49">
        <w:rPr>
          <w:rFonts w:ascii="Arial" w:hAnsi="Arial" w:cs="Arial"/>
        </w:rPr>
        <w:t>Le salarié ayant en charge un enfant ou un conjoint, concubin, partenaire lié par un pacte civil de solidarité en situation de handicap ou atteint d’une maladie grave ou victime d’un accident grave peut bénéficier d’une aide financière pour assurer la présence</w:t>
      </w:r>
      <w:r w:rsidRPr="00C41E49">
        <w:rPr>
          <w:rFonts w:ascii="Arial" w:hAnsi="Arial" w:cs="Arial"/>
          <w:b/>
        </w:rPr>
        <w:t xml:space="preserve"> </w:t>
      </w:r>
      <w:r w:rsidRPr="00C41E49">
        <w:rPr>
          <w:rFonts w:ascii="Arial" w:hAnsi="Arial" w:cs="Arial"/>
        </w:rPr>
        <w:t>d’une tierce personne auprès de l’enfant ou de la personne reconnue handicapée afin de permettre au salarié concerné de pouvoir disposer d’un temps personnel (sortie, loisir….).</w:t>
      </w:r>
    </w:p>
    <w:p w:rsidR="00C41E49" w:rsidRPr="00C41E49" w:rsidRDefault="00C41E49" w:rsidP="00C41E49">
      <w:pPr>
        <w:spacing w:line="240" w:lineRule="exact"/>
        <w:ind w:right="991"/>
        <w:jc w:val="both"/>
        <w:rPr>
          <w:rFonts w:ascii="Arial" w:hAnsi="Arial" w:cs="Arial"/>
        </w:rPr>
      </w:pPr>
      <w:r w:rsidRPr="00C41E49">
        <w:rPr>
          <w:rFonts w:ascii="Arial" w:hAnsi="Arial" w:cs="Arial"/>
        </w:rPr>
        <w:t>Le montant des dépenses engagées au titre de cette garde ponctuelle est remboursé par note de frais sur présentation des  justificatifs de la garde, de l’identité de son bénéficiaire et des frais engagés dans la limite d’un plafond annuel de 300€ (exercice fiscal)</w:t>
      </w:r>
    </w:p>
    <w:p w:rsidR="00C41E49" w:rsidRPr="00C41E49" w:rsidRDefault="00C41E49" w:rsidP="00C41E49">
      <w:pPr>
        <w:spacing w:line="240" w:lineRule="exact"/>
        <w:ind w:right="991"/>
        <w:jc w:val="both"/>
        <w:rPr>
          <w:rFonts w:ascii="Arial" w:hAnsi="Arial" w:cs="Arial"/>
        </w:rPr>
      </w:pPr>
      <w:r w:rsidRPr="00C41E49">
        <w:rPr>
          <w:rFonts w:ascii="Arial" w:hAnsi="Arial" w:cs="Arial"/>
        </w:rPr>
        <w:t xml:space="preserve">Le bénéfice de cette aide est subordonné à un avis préalable favorable de l’Assistante sociale et au recours à une auxiliaire de vie sociale mandatée par un organisme habilité  </w:t>
      </w:r>
    </w:p>
    <w:p w:rsidR="00C41E49" w:rsidRDefault="00C41E49" w:rsidP="00CD677D">
      <w:pPr>
        <w:spacing w:line="240" w:lineRule="exact"/>
        <w:ind w:right="991"/>
        <w:jc w:val="both"/>
        <w:rPr>
          <w:rFonts w:ascii="Arial" w:hAnsi="Arial" w:cs="Arial"/>
        </w:rPr>
      </w:pPr>
      <w:r w:rsidRPr="00C41E49">
        <w:rPr>
          <w:rFonts w:ascii="Arial" w:hAnsi="Arial" w:cs="Arial"/>
        </w:rPr>
        <w:t>Le bénéfice de cette aide est étendu au salarié qui assiste régulièrement un ascendant (mère, père, belle-mère, beau-père) suite à une perte d’autonomie d’une particulière gravité sous réserve, en sus des conditions énoncées ci-dessus de la production d’un certificat médical du médecin traitant.</w:t>
      </w:r>
    </w:p>
    <w:p w:rsidR="00CD677D" w:rsidRDefault="00CD677D" w:rsidP="00CD677D">
      <w:pPr>
        <w:spacing w:line="240" w:lineRule="exact"/>
        <w:ind w:right="991"/>
        <w:jc w:val="both"/>
        <w:rPr>
          <w:rFonts w:ascii="Arial" w:hAnsi="Arial" w:cs="Arial"/>
        </w:rPr>
      </w:pPr>
    </w:p>
    <w:p w:rsidR="00642DA9" w:rsidRDefault="00642DA9" w:rsidP="00CD677D">
      <w:pPr>
        <w:spacing w:line="240" w:lineRule="exact"/>
        <w:ind w:right="991"/>
        <w:jc w:val="both"/>
        <w:rPr>
          <w:rFonts w:ascii="Arial" w:hAnsi="Arial" w:cs="Arial"/>
        </w:rPr>
      </w:pPr>
    </w:p>
    <w:p w:rsidR="00C74345" w:rsidRPr="00CD677D" w:rsidRDefault="00C74345" w:rsidP="00CD677D">
      <w:pPr>
        <w:spacing w:line="240" w:lineRule="exact"/>
        <w:ind w:right="991"/>
        <w:jc w:val="both"/>
        <w:rPr>
          <w:rFonts w:ascii="Arial" w:hAnsi="Arial" w:cs="Arial"/>
        </w:rPr>
      </w:pPr>
    </w:p>
    <w:p w:rsidR="005D3A6D" w:rsidRPr="005E7F8B" w:rsidRDefault="005D3A6D" w:rsidP="00713906">
      <w:pPr>
        <w:pStyle w:val="Titre1"/>
      </w:pPr>
      <w:bookmarkStart w:id="27" w:name="_Toc6241693"/>
      <w:r w:rsidRPr="005E7F8B">
        <w:lastRenderedPageBreak/>
        <w:t>DUREE D'INDEMNISATION PAR L’EMPLOYEUR &amp; SUBROGATION</w:t>
      </w:r>
      <w:bookmarkEnd w:id="27"/>
      <w:r w:rsidRPr="005E7F8B">
        <w:t xml:space="preserve"> </w:t>
      </w:r>
    </w:p>
    <w:p w:rsidR="005D3A6D" w:rsidRPr="005E7F8B" w:rsidRDefault="005D3A6D" w:rsidP="005D3A6D">
      <w:pPr>
        <w:autoSpaceDE w:val="0"/>
        <w:autoSpaceDN w:val="0"/>
        <w:adjustRightInd w:val="0"/>
        <w:rPr>
          <w:rFonts w:ascii="Tahoma" w:hAnsi="Tahoma" w:cs="Tahoma"/>
        </w:rPr>
      </w:pPr>
      <w:r w:rsidRPr="004C3153">
        <w:rPr>
          <w:rStyle w:val="Titre6Car"/>
        </w:rPr>
        <w:t>Territoriale de Rouen-Dieppe (Art 13) :</w:t>
      </w:r>
      <w:r w:rsidRPr="005E7F8B">
        <w:rPr>
          <w:rFonts w:ascii="Tahoma" w:hAnsi="Tahoma" w:cs="Tahoma"/>
        </w:rPr>
        <w:t xml:space="preserve"> Le salarié absent pour maladie à la date prévue pour son départ en congé percevra à son retour de maladie ou à la date de résiliation de son contrat, l'indemnité compensatrice correspondant au congé auquel il pouvait prétendre en raison de son travail effectif. Toutefois, s'il reprend son poste avant le 31 octobre, il pourra soit prendre effectivement son congé, soit percevoir l'indemnité compensatrice de congé payé.</w:t>
      </w:r>
    </w:p>
    <w:p w:rsidR="005D3A6D" w:rsidRPr="005E7F8B" w:rsidRDefault="005D3A6D" w:rsidP="00EC1AC4">
      <w:pPr>
        <w:ind w:right="118"/>
        <w:rPr>
          <w:rFonts w:ascii="Tahoma" w:hAnsi="Tahoma" w:cs="Tahoma"/>
          <w:u w:val="single" w:color="000000"/>
        </w:rPr>
      </w:pPr>
      <w:r w:rsidRPr="005E7F8B">
        <w:rPr>
          <w:rFonts w:ascii="Tahoma" w:hAnsi="Tahoma" w:cs="Tahoma"/>
        </w:rPr>
        <w:t xml:space="preserve">Après 1 an d’ancienneté la rémunération est maintenue pendant 60 jours calendaires puis, les 30 jours suivants, la rémunération est maintenue à 75%. La période à 100% et 75% est augmentée de dix jours par période entière de cinq ans </w:t>
      </w:r>
      <w:r>
        <w:rPr>
          <w:rFonts w:ascii="Tahoma" w:hAnsi="Tahoma" w:cs="Tahoma"/>
        </w:rPr>
        <w:t>d’ancienneté.</w:t>
      </w:r>
    </w:p>
    <w:p w:rsidR="005D3A6D" w:rsidRPr="005E7F8B" w:rsidRDefault="005D3A6D" w:rsidP="00EC1AC4">
      <w:pPr>
        <w:ind w:right="-24"/>
        <w:rPr>
          <w:rFonts w:ascii="Tahoma" w:hAnsi="Tahoma" w:cs="Tahoma"/>
        </w:rPr>
      </w:pPr>
      <w:r w:rsidRPr="004C3153">
        <w:rPr>
          <w:rStyle w:val="Titre6Car"/>
        </w:rPr>
        <w:t>Nationale des ingénieurs &amp; Cadres (Art 16) :</w:t>
      </w:r>
      <w:r w:rsidRPr="005E7F8B">
        <w:rPr>
          <w:rFonts w:ascii="Tahoma" w:hAnsi="Tahoma" w:cs="Tahoma"/>
        </w:rPr>
        <w:t xml:space="preserve"> D’un à cinq ans d’ancienneté : trois mois à plein tarif et trois mois à demi-tarif ; de cinq à dix ans : quatre mois à plein tarif et quatre mois à demi-tarif ; de dix ans à quinze ans : cinq mois à plein tarif et cinq mois à demi-tarif ; au-delà de quinze ans : six mois à plein tarif et six mois à demi-tarif. Toutefois, en cas d'absence pour accident du travail ou maladie professionnelle survenant entre trois mois et douze mois de présence dans l'entreprise, la durée d'absence susceptible.</w:t>
      </w:r>
    </w:p>
    <w:p w:rsidR="005D3A6D" w:rsidRPr="009E3F98" w:rsidRDefault="005D3A6D" w:rsidP="009E3F98">
      <w:pPr>
        <w:pStyle w:val="Titre1"/>
        <w:rPr>
          <w:rFonts w:ascii="Tahoma" w:hAnsi="Tahoma" w:cs="Tahoma"/>
        </w:rPr>
      </w:pPr>
      <w:bookmarkStart w:id="28" w:name="_Toc6241694"/>
      <w:r w:rsidRPr="005E7F8B">
        <w:rPr>
          <w:rFonts w:eastAsia="Verdana"/>
          <w:u w:color="000000"/>
        </w:rPr>
        <w:t>SALAIRE, MINIMUM LÉGAL &amp; CONVENTIONNEL, ETC...</w:t>
      </w:r>
      <w:bookmarkEnd w:id="28"/>
      <w:r w:rsidRPr="005E7F8B">
        <w:t xml:space="preserve"> </w:t>
      </w:r>
    </w:p>
    <w:p w:rsidR="005D3A6D" w:rsidRPr="005E7F8B" w:rsidRDefault="00642DA9" w:rsidP="005D3A6D">
      <w:pPr>
        <w:ind w:right="14"/>
        <w:rPr>
          <w:rFonts w:ascii="Tahoma" w:hAnsi="Tahoma" w:cs="Tahoma"/>
        </w:rPr>
      </w:pPr>
      <w:r>
        <w:rPr>
          <w:rFonts w:cs="Calibri"/>
          <w:b/>
          <w:noProof/>
        </w:rPr>
        <w:drawing>
          <wp:anchor distT="0" distB="0" distL="114300" distR="114300" simplePos="0" relativeHeight="251684864" behindDoc="1" locked="0" layoutInCell="1" allowOverlap="1">
            <wp:simplePos x="0" y="0"/>
            <wp:positionH relativeFrom="page">
              <wp:posOffset>3705225</wp:posOffset>
            </wp:positionH>
            <wp:positionV relativeFrom="paragraph">
              <wp:posOffset>118745</wp:posOffset>
            </wp:positionV>
            <wp:extent cx="3596005" cy="2531110"/>
            <wp:effectExtent l="0" t="0" r="4445" b="2540"/>
            <wp:wrapTight wrapText="bothSides">
              <wp:wrapPolygon edited="0">
                <wp:start x="0" y="0"/>
                <wp:lineTo x="0" y="21459"/>
                <wp:lineTo x="21512" y="21459"/>
                <wp:lineTo x="21512" y="0"/>
                <wp:lineTo x="0" y="0"/>
              </wp:wrapPolygon>
            </wp:wrapTight>
            <wp:docPr id="14" name="Image 14"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00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A6D" w:rsidRPr="005E7F8B">
        <w:rPr>
          <w:rFonts w:ascii="Tahoma" w:hAnsi="Tahoma" w:cs="Tahoma"/>
          <w:b/>
        </w:rPr>
        <w:t xml:space="preserve">PRINCIPE : </w:t>
      </w:r>
      <w:r w:rsidR="005D3A6D" w:rsidRPr="005E7F8B">
        <w:rPr>
          <w:rFonts w:ascii="Tahoma" w:hAnsi="Tahoma" w:cs="Tahoma"/>
        </w:rPr>
        <w:t>Pour les salariés d'ALSTOM (en CDI, CDD et intérimaire) la Direction est tenue de respecter en plus du SMIC</w:t>
      </w:r>
      <w:r w:rsidR="005D3A6D" w:rsidRPr="005E7F8B">
        <w:rPr>
          <w:rFonts w:ascii="Tahoma" w:hAnsi="Tahoma" w:cs="Tahoma"/>
          <w:b/>
        </w:rPr>
        <w:t xml:space="preserve"> :</w:t>
      </w:r>
      <w:r w:rsidR="005D3A6D" w:rsidRPr="005E7F8B">
        <w:rPr>
          <w:rFonts w:ascii="Tahoma" w:hAnsi="Tahoma" w:cs="Tahoma"/>
        </w:rPr>
        <w:t xml:space="preserve"> </w:t>
      </w:r>
    </w:p>
    <w:p w:rsidR="005D3A6D" w:rsidRPr="005E7F8B" w:rsidRDefault="005D3A6D" w:rsidP="005D3A6D">
      <w:pPr>
        <w:numPr>
          <w:ilvl w:val="0"/>
          <w:numId w:val="5"/>
        </w:numPr>
        <w:spacing w:after="0" w:line="240" w:lineRule="auto"/>
        <w:ind w:left="587" w:right="14" w:hanging="360"/>
        <w:rPr>
          <w:rFonts w:ascii="Tahoma" w:hAnsi="Tahoma" w:cs="Tahoma"/>
        </w:rPr>
      </w:pPr>
      <w:r w:rsidRPr="005E7F8B">
        <w:rPr>
          <w:rFonts w:ascii="Tahoma" w:hAnsi="Tahoma" w:cs="Tahoma"/>
        </w:rPr>
        <w:t xml:space="preserve">La prime d'ancienneté prévue par la convention collective territoriale de la Métallurgie pour les non-cadres. </w:t>
      </w:r>
    </w:p>
    <w:p w:rsidR="005D3A6D" w:rsidRPr="005E7F8B" w:rsidRDefault="005D3A6D" w:rsidP="005D3A6D">
      <w:pPr>
        <w:numPr>
          <w:ilvl w:val="0"/>
          <w:numId w:val="5"/>
        </w:numPr>
        <w:spacing w:after="0" w:line="240" w:lineRule="auto"/>
        <w:ind w:left="587" w:right="14" w:hanging="360"/>
        <w:rPr>
          <w:rFonts w:ascii="Tahoma" w:hAnsi="Tahoma" w:cs="Tahoma"/>
        </w:rPr>
      </w:pPr>
      <w:r w:rsidRPr="005E7F8B">
        <w:rPr>
          <w:rFonts w:ascii="Tahoma" w:hAnsi="Tahoma" w:cs="Tahoma"/>
        </w:rPr>
        <w:t xml:space="preserve">Les majorations et repos pour heures supplémentaires. </w:t>
      </w:r>
    </w:p>
    <w:p w:rsidR="005D3A6D" w:rsidRPr="005E7F8B" w:rsidRDefault="005D3A6D" w:rsidP="005D3A6D">
      <w:pPr>
        <w:numPr>
          <w:ilvl w:val="0"/>
          <w:numId w:val="5"/>
        </w:numPr>
        <w:spacing w:after="0" w:line="240" w:lineRule="auto"/>
        <w:ind w:left="587" w:right="14" w:hanging="360"/>
        <w:rPr>
          <w:rFonts w:ascii="Tahoma" w:hAnsi="Tahoma" w:cs="Tahoma"/>
        </w:rPr>
      </w:pPr>
      <w:r w:rsidRPr="005E7F8B">
        <w:rPr>
          <w:rFonts w:ascii="Tahoma" w:hAnsi="Tahoma" w:cs="Tahoma"/>
        </w:rPr>
        <w:t xml:space="preserve">Les minimums prévus par la convention collective territoriale de la Métallurgie pour les non-cadres. </w:t>
      </w:r>
    </w:p>
    <w:p w:rsidR="005D3A6D" w:rsidRDefault="005D3A6D" w:rsidP="005D3A6D">
      <w:pPr>
        <w:numPr>
          <w:ilvl w:val="0"/>
          <w:numId w:val="5"/>
        </w:numPr>
        <w:spacing w:after="0" w:line="240" w:lineRule="auto"/>
        <w:ind w:left="587" w:right="14" w:hanging="360"/>
        <w:rPr>
          <w:rFonts w:ascii="Tahoma" w:hAnsi="Tahoma" w:cs="Tahoma"/>
        </w:rPr>
      </w:pPr>
      <w:r w:rsidRPr="005E7F8B">
        <w:rPr>
          <w:rFonts w:ascii="Tahoma" w:hAnsi="Tahoma" w:cs="Tahoma"/>
        </w:rPr>
        <w:t xml:space="preserve">Les minimums prévus par la convention collective nationale pour les ingénieurs &amp; cadres de la métallurgie. </w:t>
      </w:r>
    </w:p>
    <w:p w:rsidR="00713906" w:rsidRDefault="00713906" w:rsidP="005D3A6D">
      <w:pPr>
        <w:numPr>
          <w:ilvl w:val="0"/>
          <w:numId w:val="5"/>
        </w:numPr>
        <w:spacing w:after="0" w:line="240" w:lineRule="auto"/>
        <w:ind w:left="587" w:right="14" w:hanging="360"/>
        <w:rPr>
          <w:rFonts w:ascii="Tahoma" w:hAnsi="Tahoma" w:cs="Tahoma"/>
        </w:rPr>
      </w:pPr>
      <w:r>
        <w:rPr>
          <w:rFonts w:ascii="Tahoma" w:hAnsi="Tahoma" w:cs="Tahoma"/>
        </w:rPr>
        <w:t>Les primes salissures</w:t>
      </w:r>
    </w:p>
    <w:p w:rsidR="00713906" w:rsidRPr="005E7F8B" w:rsidRDefault="00713906" w:rsidP="005D3A6D">
      <w:pPr>
        <w:numPr>
          <w:ilvl w:val="0"/>
          <w:numId w:val="5"/>
        </w:numPr>
        <w:spacing w:after="0" w:line="240" w:lineRule="auto"/>
        <w:ind w:left="587" w:right="14" w:hanging="360"/>
        <w:rPr>
          <w:rFonts w:ascii="Tahoma" w:hAnsi="Tahoma" w:cs="Tahoma"/>
        </w:rPr>
      </w:pPr>
      <w:r>
        <w:rPr>
          <w:rFonts w:ascii="Tahoma" w:hAnsi="Tahoma" w:cs="Tahoma"/>
        </w:rPr>
        <w:t xml:space="preserve">Les primes paniers pour les </w:t>
      </w:r>
      <w:r w:rsidR="006D4E98">
        <w:rPr>
          <w:rFonts w:ascii="Tahoma" w:hAnsi="Tahoma" w:cs="Tahoma"/>
        </w:rPr>
        <w:t>salariés</w:t>
      </w:r>
      <w:r>
        <w:rPr>
          <w:rFonts w:ascii="Tahoma" w:hAnsi="Tahoma" w:cs="Tahoma"/>
        </w:rPr>
        <w:t xml:space="preserve"> en </w:t>
      </w:r>
      <w:r w:rsidR="006D4E98">
        <w:rPr>
          <w:rFonts w:ascii="Tahoma" w:hAnsi="Tahoma" w:cs="Tahoma"/>
        </w:rPr>
        <w:t>travail en équipe successive (quart : 2*8 et 3*8)</w:t>
      </w:r>
    </w:p>
    <w:p w:rsidR="005D3A6D" w:rsidRDefault="005D3A6D" w:rsidP="005D3A6D">
      <w:pPr>
        <w:spacing w:after="240"/>
        <w:rPr>
          <w:rFonts w:ascii="Tahoma" w:hAnsi="Tahoma" w:cs="Tahoma"/>
        </w:rPr>
      </w:pPr>
      <w:r w:rsidRPr="005E7F8B">
        <w:rPr>
          <w:rFonts w:ascii="Tahoma" w:hAnsi="Tahoma" w:cs="Tahoma"/>
        </w:rPr>
        <w:t>Ces barèmes s'imposent à l'employeur qui est obligé de les respecter. En cas "d'erreur" le salarié peut réclamer jusqu'à 3 ans en arrière toutes sommes manquantes.</w:t>
      </w:r>
    </w:p>
    <w:tbl>
      <w:tblPr>
        <w:tblpPr w:leftFromText="141" w:rightFromText="141" w:vertAnchor="page" w:horzAnchor="margin" w:tblpY="11126"/>
        <w:tblW w:w="10482" w:type="dxa"/>
        <w:tblBorders>
          <w:top w:val="single" w:sz="6" w:space="0" w:color="DADADA"/>
          <w:left w:val="single" w:sz="6" w:space="0" w:color="DADADA"/>
          <w:bottom w:val="single" w:sz="6" w:space="0" w:color="DADADA"/>
          <w:right w:val="single" w:sz="6" w:space="0" w:color="DADADA"/>
        </w:tblBorders>
        <w:tblCellMar>
          <w:left w:w="0" w:type="dxa"/>
          <w:right w:w="0" w:type="dxa"/>
        </w:tblCellMar>
        <w:tblLook w:val="04A0" w:firstRow="1" w:lastRow="0" w:firstColumn="1" w:lastColumn="0" w:noHBand="0" w:noVBand="1"/>
      </w:tblPr>
      <w:tblGrid>
        <w:gridCol w:w="6745"/>
        <w:gridCol w:w="3737"/>
      </w:tblGrid>
      <w:tr w:rsidR="00CD677D" w:rsidRPr="00C969A2" w:rsidTr="00C74345">
        <w:trPr>
          <w:trHeight w:val="298"/>
        </w:trPr>
        <w:tc>
          <w:tcPr>
            <w:tcW w:w="10482" w:type="dxa"/>
            <w:gridSpan w:val="2"/>
            <w:tcBorders>
              <w:top w:val="single" w:sz="6" w:space="0" w:color="DADADA"/>
              <w:left w:val="single" w:sz="6" w:space="0" w:color="DADADA"/>
              <w:bottom w:val="single" w:sz="6" w:space="0" w:color="DADADA"/>
              <w:right w:val="single" w:sz="6" w:space="0" w:color="DADADA"/>
            </w:tcBorders>
            <w:shd w:val="clear" w:color="auto" w:fill="F2F2F2"/>
            <w:tcMar>
              <w:top w:w="150" w:type="dxa"/>
              <w:left w:w="150" w:type="dxa"/>
              <w:bottom w:w="150" w:type="dxa"/>
              <w:right w:w="150" w:type="dxa"/>
            </w:tcMar>
            <w:vAlign w:val="center"/>
            <w:hideMark/>
          </w:tcPr>
          <w:p w:rsidR="00CD677D" w:rsidRPr="00C969A2" w:rsidRDefault="00CD677D" w:rsidP="00C74345">
            <w:pPr>
              <w:shd w:val="clear" w:color="auto" w:fill="F2F2F2"/>
              <w:spacing w:before="0" w:after="0"/>
              <w:jc w:val="center"/>
              <w:textAlignment w:val="top"/>
              <w:rPr>
                <w:rFonts w:ascii="Verdana" w:hAnsi="Verdana"/>
                <w:color w:val="222222"/>
              </w:rPr>
            </w:pPr>
            <w:r w:rsidRPr="00C969A2">
              <w:rPr>
                <w:rStyle w:val="lev"/>
                <w:rFonts w:ascii="Verdana" w:hAnsi="Verdana"/>
                <w:color w:val="222222"/>
              </w:rPr>
              <w:t>Indemnités forfaitaires UNIQUEMENT de l’Entreprise Le Petit-Quevilly</w:t>
            </w:r>
          </w:p>
        </w:tc>
      </w:tr>
      <w:tr w:rsidR="00CD677D" w:rsidRPr="00C969A2" w:rsidTr="00C74345">
        <w:trPr>
          <w:trHeight w:val="139"/>
        </w:trPr>
        <w:tc>
          <w:tcPr>
            <w:tcW w:w="6745" w:type="dxa"/>
            <w:tcBorders>
              <w:top w:val="nil"/>
              <w:left w:val="nil"/>
              <w:bottom w:val="nil"/>
              <w:right w:val="nil"/>
            </w:tcBorders>
            <w:shd w:val="clear" w:color="auto" w:fill="F2F2F2"/>
            <w:tcMar>
              <w:top w:w="150" w:type="dxa"/>
              <w:left w:w="150" w:type="dxa"/>
              <w:bottom w:w="150" w:type="dxa"/>
              <w:right w:w="150" w:type="dxa"/>
            </w:tcMar>
            <w:vAlign w:val="center"/>
            <w:hideMark/>
          </w:tcPr>
          <w:p w:rsidR="00CD677D" w:rsidRPr="00C969A2" w:rsidRDefault="00CD677D" w:rsidP="00C74345">
            <w:pPr>
              <w:shd w:val="clear" w:color="auto" w:fill="F2F2F2"/>
              <w:autoSpaceDE w:val="0"/>
              <w:autoSpaceDN w:val="0"/>
              <w:adjustRightInd w:val="0"/>
              <w:spacing w:before="0" w:after="0" w:line="240" w:lineRule="auto"/>
              <w:jc w:val="center"/>
              <w:rPr>
                <w:rFonts w:cs="Calibri"/>
                <w:sz w:val="22"/>
                <w:szCs w:val="22"/>
              </w:rPr>
            </w:pPr>
            <w:r w:rsidRPr="00FB08E8">
              <w:rPr>
                <w:rFonts w:cs="Calibri"/>
                <w:b/>
                <w:sz w:val="22"/>
                <w:szCs w:val="22"/>
              </w:rPr>
              <w:t>Salissure 2</w:t>
            </w:r>
            <w:r w:rsidRPr="00C969A2">
              <w:rPr>
                <w:rFonts w:cs="Calibri"/>
                <w:sz w:val="22"/>
                <w:szCs w:val="22"/>
              </w:rPr>
              <w:t> : reconnus très salissants</w:t>
            </w:r>
          </w:p>
        </w:tc>
        <w:tc>
          <w:tcPr>
            <w:tcW w:w="3737" w:type="dxa"/>
            <w:tcBorders>
              <w:top w:val="single" w:sz="6" w:space="0" w:color="DADADA"/>
              <w:left w:val="nil"/>
              <w:bottom w:val="single" w:sz="6" w:space="0" w:color="DADADA"/>
              <w:right w:val="single" w:sz="6" w:space="0" w:color="DADADA"/>
            </w:tcBorders>
            <w:shd w:val="clear" w:color="auto" w:fill="F2F2F2"/>
            <w:tcMar>
              <w:top w:w="150" w:type="dxa"/>
              <w:left w:w="150" w:type="dxa"/>
              <w:bottom w:w="150" w:type="dxa"/>
              <w:right w:w="150" w:type="dxa"/>
            </w:tcMar>
            <w:vAlign w:val="center"/>
            <w:hideMark/>
          </w:tcPr>
          <w:p w:rsidR="00CD677D" w:rsidRPr="00FB08E8" w:rsidRDefault="00CD677D" w:rsidP="00C74345">
            <w:pPr>
              <w:shd w:val="clear" w:color="auto" w:fill="F2F2F2"/>
              <w:spacing w:before="0" w:after="0" w:line="240" w:lineRule="auto"/>
              <w:jc w:val="center"/>
              <w:textAlignment w:val="top"/>
              <w:rPr>
                <w:rFonts w:cs="Calibri"/>
                <w:b/>
                <w:color w:val="222222"/>
              </w:rPr>
            </w:pPr>
            <w:r w:rsidRPr="00FB08E8">
              <w:rPr>
                <w:rFonts w:cs="Calibri"/>
                <w:b/>
                <w:sz w:val="22"/>
                <w:szCs w:val="22"/>
              </w:rPr>
              <w:t>0.397€</w:t>
            </w:r>
          </w:p>
        </w:tc>
      </w:tr>
      <w:tr w:rsidR="00CD677D" w:rsidRPr="00C969A2" w:rsidTr="00C74345">
        <w:trPr>
          <w:trHeight w:val="282"/>
        </w:trPr>
        <w:tc>
          <w:tcPr>
            <w:tcW w:w="6745" w:type="dxa"/>
            <w:tcBorders>
              <w:top w:val="nil"/>
              <w:left w:val="single" w:sz="6" w:space="0" w:color="DADADA"/>
              <w:bottom w:val="single" w:sz="6" w:space="0" w:color="DADADA"/>
              <w:right w:val="single" w:sz="6" w:space="0" w:color="DADADA"/>
            </w:tcBorders>
            <w:shd w:val="clear" w:color="auto" w:fill="F2F2F2"/>
            <w:tcMar>
              <w:top w:w="150" w:type="dxa"/>
              <w:left w:w="150" w:type="dxa"/>
              <w:bottom w:w="150" w:type="dxa"/>
              <w:right w:w="150" w:type="dxa"/>
            </w:tcMar>
            <w:vAlign w:val="center"/>
            <w:hideMark/>
          </w:tcPr>
          <w:p w:rsidR="00CD677D" w:rsidRPr="00C969A2" w:rsidRDefault="00CD677D" w:rsidP="00C74345">
            <w:pPr>
              <w:shd w:val="clear" w:color="auto" w:fill="F2F2F2"/>
              <w:autoSpaceDE w:val="0"/>
              <w:autoSpaceDN w:val="0"/>
              <w:adjustRightInd w:val="0"/>
              <w:spacing w:before="0" w:after="0" w:line="240" w:lineRule="auto"/>
              <w:jc w:val="center"/>
              <w:rPr>
                <w:rFonts w:cs="Calibri"/>
                <w:sz w:val="22"/>
                <w:szCs w:val="22"/>
              </w:rPr>
            </w:pPr>
            <w:r>
              <w:rPr>
                <w:rFonts w:cs="Calibri"/>
                <w:b/>
                <w:noProof/>
              </w:rPr>
              <w:drawing>
                <wp:anchor distT="0" distB="0" distL="114300" distR="114300" simplePos="0" relativeHeight="251711488" behindDoc="0" locked="0" layoutInCell="1" allowOverlap="1" wp14:anchorId="6E64645B" wp14:editId="1C6AE7AE">
                  <wp:simplePos x="0" y="0"/>
                  <wp:positionH relativeFrom="column">
                    <wp:posOffset>3357880</wp:posOffset>
                  </wp:positionH>
                  <wp:positionV relativeFrom="paragraph">
                    <wp:posOffset>-567690</wp:posOffset>
                  </wp:positionV>
                  <wp:extent cx="1219835" cy="1266190"/>
                  <wp:effectExtent l="0" t="0" r="0" b="0"/>
                  <wp:wrapNone/>
                  <wp:docPr id="13" name="Image 13" descr="th6PHLP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6PHLPKAZ"/>
                          <pic:cNvPicPr>
                            <a:picLocks noChangeAspect="1" noChangeArrowheads="1"/>
                          </pic:cNvPicPr>
                        </pic:nvPicPr>
                        <pic:blipFill>
                          <a:blip r:embed="rId24">
                            <a:extLst>
                              <a:ext uri="{28A0092B-C50C-407E-A947-70E740481C1C}">
                                <a14:useLocalDpi xmlns:a14="http://schemas.microsoft.com/office/drawing/2010/main" val="0"/>
                              </a:ext>
                            </a:extLst>
                          </a:blip>
                          <a:srcRect l="27733" t="11589" r="29066" b="10233"/>
                          <a:stretch>
                            <a:fillRect/>
                          </a:stretch>
                        </pic:blipFill>
                        <pic:spPr bwMode="auto">
                          <a:xfrm>
                            <a:off x="0" y="0"/>
                            <a:ext cx="121983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8E8">
              <w:rPr>
                <w:rFonts w:cs="Calibri"/>
                <w:b/>
                <w:sz w:val="22"/>
                <w:szCs w:val="22"/>
              </w:rPr>
              <w:t>Salissure 1</w:t>
            </w:r>
            <w:r w:rsidRPr="00C969A2">
              <w:rPr>
                <w:rFonts w:cs="Calibri"/>
                <w:sz w:val="22"/>
                <w:szCs w:val="22"/>
              </w:rPr>
              <w:t> : occasionnellement s</w:t>
            </w:r>
            <w:r>
              <w:rPr>
                <w:rFonts w:cs="Calibri"/>
                <w:sz w:val="22"/>
                <w:szCs w:val="22"/>
              </w:rPr>
              <w:t>a</w:t>
            </w:r>
            <w:r w:rsidRPr="00C969A2">
              <w:rPr>
                <w:rFonts w:cs="Calibri"/>
                <w:sz w:val="22"/>
                <w:szCs w:val="22"/>
              </w:rPr>
              <w:t>lissant</w:t>
            </w:r>
          </w:p>
        </w:tc>
        <w:tc>
          <w:tcPr>
            <w:tcW w:w="3737" w:type="dxa"/>
            <w:tcBorders>
              <w:top w:val="single" w:sz="6" w:space="0" w:color="DADADA"/>
              <w:left w:val="single" w:sz="6" w:space="0" w:color="DADADA"/>
              <w:bottom w:val="single" w:sz="6" w:space="0" w:color="DADADA"/>
              <w:right w:val="single" w:sz="6" w:space="0" w:color="DADADA"/>
            </w:tcBorders>
            <w:shd w:val="clear" w:color="auto" w:fill="F2F2F2"/>
            <w:tcMar>
              <w:top w:w="150" w:type="dxa"/>
              <w:left w:w="150" w:type="dxa"/>
              <w:bottom w:w="150" w:type="dxa"/>
              <w:right w:w="150" w:type="dxa"/>
            </w:tcMar>
            <w:vAlign w:val="center"/>
            <w:hideMark/>
          </w:tcPr>
          <w:p w:rsidR="00CD677D" w:rsidRPr="00FB08E8" w:rsidRDefault="00CD677D" w:rsidP="00C74345">
            <w:pPr>
              <w:shd w:val="clear" w:color="auto" w:fill="F2F2F2"/>
              <w:spacing w:before="0" w:after="0" w:line="240" w:lineRule="auto"/>
              <w:jc w:val="center"/>
              <w:textAlignment w:val="top"/>
              <w:rPr>
                <w:rFonts w:cs="Calibri"/>
                <w:b/>
                <w:color w:val="222222"/>
              </w:rPr>
            </w:pPr>
            <w:r w:rsidRPr="00FB08E8">
              <w:rPr>
                <w:rFonts w:cs="Calibri"/>
                <w:b/>
                <w:sz w:val="22"/>
                <w:szCs w:val="22"/>
              </w:rPr>
              <w:t>0.2</w:t>
            </w:r>
            <w:r>
              <w:rPr>
                <w:rFonts w:cs="Calibri"/>
                <w:b/>
                <w:sz w:val="22"/>
                <w:szCs w:val="22"/>
              </w:rPr>
              <w:t>1</w:t>
            </w:r>
            <w:r w:rsidRPr="00FB08E8">
              <w:rPr>
                <w:rFonts w:cs="Calibri"/>
                <w:b/>
                <w:sz w:val="22"/>
                <w:szCs w:val="22"/>
              </w:rPr>
              <w:t>€</w:t>
            </w:r>
          </w:p>
        </w:tc>
      </w:tr>
      <w:tr w:rsidR="00CD677D" w:rsidRPr="00C969A2" w:rsidTr="00C74345">
        <w:trPr>
          <w:trHeight w:val="483"/>
        </w:trPr>
        <w:tc>
          <w:tcPr>
            <w:tcW w:w="6745" w:type="dxa"/>
            <w:tcBorders>
              <w:top w:val="single" w:sz="6" w:space="0" w:color="DADADA"/>
              <w:left w:val="single" w:sz="6" w:space="0" w:color="DADADA"/>
              <w:bottom w:val="single" w:sz="6" w:space="0" w:color="DADADA"/>
              <w:right w:val="single" w:sz="6" w:space="0" w:color="DADADA"/>
            </w:tcBorders>
            <w:shd w:val="clear" w:color="auto" w:fill="F2F2F2"/>
            <w:tcMar>
              <w:top w:w="150" w:type="dxa"/>
              <w:left w:w="150" w:type="dxa"/>
              <w:bottom w:w="150" w:type="dxa"/>
              <w:right w:w="150" w:type="dxa"/>
            </w:tcMar>
            <w:vAlign w:val="center"/>
          </w:tcPr>
          <w:p w:rsidR="00CD677D" w:rsidRPr="00FB08E8" w:rsidRDefault="00CD677D" w:rsidP="00C74345">
            <w:pPr>
              <w:shd w:val="clear" w:color="auto" w:fill="F2F2F2"/>
              <w:autoSpaceDE w:val="0"/>
              <w:autoSpaceDN w:val="0"/>
              <w:adjustRightInd w:val="0"/>
              <w:spacing w:before="0" w:after="0" w:line="240" w:lineRule="auto"/>
              <w:jc w:val="center"/>
              <w:rPr>
                <w:rFonts w:cs="Calibri"/>
                <w:b/>
                <w:color w:val="222222"/>
              </w:rPr>
            </w:pPr>
            <w:r w:rsidRPr="00FB08E8">
              <w:rPr>
                <w:rFonts w:cs="Calibri"/>
                <w:b/>
                <w:sz w:val="22"/>
                <w:szCs w:val="22"/>
              </w:rPr>
              <w:t>La Prime d’Équipe</w:t>
            </w:r>
          </w:p>
        </w:tc>
        <w:tc>
          <w:tcPr>
            <w:tcW w:w="3737" w:type="dxa"/>
            <w:tcBorders>
              <w:top w:val="single" w:sz="6" w:space="0" w:color="DADADA"/>
              <w:left w:val="single" w:sz="6" w:space="0" w:color="DADADA"/>
              <w:bottom w:val="single" w:sz="6" w:space="0" w:color="DADADA"/>
              <w:right w:val="single" w:sz="6" w:space="0" w:color="DADADA"/>
            </w:tcBorders>
            <w:shd w:val="clear" w:color="auto" w:fill="F2F2F2"/>
            <w:tcMar>
              <w:top w:w="150" w:type="dxa"/>
              <w:left w:w="150" w:type="dxa"/>
              <w:bottom w:w="150" w:type="dxa"/>
              <w:right w:w="150" w:type="dxa"/>
            </w:tcMar>
            <w:vAlign w:val="center"/>
          </w:tcPr>
          <w:p w:rsidR="00CD677D" w:rsidRPr="00FB08E8" w:rsidRDefault="00CD677D" w:rsidP="00C74345">
            <w:pPr>
              <w:shd w:val="clear" w:color="auto" w:fill="F2F2F2"/>
              <w:autoSpaceDE w:val="0"/>
              <w:autoSpaceDN w:val="0"/>
              <w:adjustRightInd w:val="0"/>
              <w:spacing w:before="0" w:after="0" w:line="240" w:lineRule="auto"/>
              <w:jc w:val="center"/>
              <w:rPr>
                <w:rFonts w:cs="Calibri"/>
                <w:b/>
                <w:sz w:val="22"/>
                <w:szCs w:val="22"/>
              </w:rPr>
            </w:pPr>
            <w:r w:rsidRPr="00FB08E8">
              <w:rPr>
                <w:rFonts w:cs="Calibri"/>
                <w:b/>
                <w:sz w:val="22"/>
                <w:szCs w:val="22"/>
              </w:rPr>
              <w:t>0.9</w:t>
            </w:r>
            <w:r>
              <w:rPr>
                <w:rFonts w:cs="Calibri"/>
                <w:b/>
                <w:sz w:val="22"/>
                <w:szCs w:val="22"/>
              </w:rPr>
              <w:t>2</w:t>
            </w:r>
            <w:r w:rsidRPr="00FB08E8">
              <w:rPr>
                <w:rFonts w:cs="Calibri"/>
                <w:b/>
                <w:sz w:val="22"/>
                <w:szCs w:val="22"/>
              </w:rPr>
              <w:t>€</w:t>
            </w:r>
          </w:p>
        </w:tc>
      </w:tr>
    </w:tbl>
    <w:p w:rsidR="00713906" w:rsidRPr="00CD677D" w:rsidRDefault="009E3F98" w:rsidP="00CD677D">
      <w:pPr>
        <w:spacing w:after="240"/>
        <w:ind w:left="10" w:hanging="10"/>
        <w:jc w:val="both"/>
        <w:rPr>
          <w:rFonts w:ascii="Tahoma" w:hAnsi="Tahoma" w:cs="Tahoma"/>
          <w:shd w:val="clear" w:color="auto" w:fill="FFFFFF"/>
        </w:rPr>
      </w:pPr>
      <w:r w:rsidRPr="005E7F8B">
        <w:rPr>
          <w:rFonts w:ascii="Tahoma" w:hAnsi="Tahoma" w:cs="Tahoma"/>
          <w:shd w:val="clear" w:color="auto" w:fill="FFFFFF"/>
        </w:rPr>
        <w:t>Rémunérations</w:t>
      </w:r>
      <w:r w:rsidRPr="005E7F8B">
        <w:rPr>
          <w:rFonts w:ascii="Tahoma" w:hAnsi="Tahoma" w:cs="Tahoma"/>
          <w:b/>
          <w:bCs/>
          <w:shd w:val="clear" w:color="auto" w:fill="FFFFFF"/>
        </w:rPr>
        <w:t xml:space="preserve"> minimales hiérarchiques </w:t>
      </w:r>
      <w:r w:rsidRPr="005E7F8B">
        <w:rPr>
          <w:rFonts w:ascii="Tahoma" w:hAnsi="Tahoma" w:cs="Tahoma"/>
          <w:shd w:val="clear" w:color="auto" w:fill="FFFFFF"/>
        </w:rPr>
        <w:t>(base 151,67 h/ mois) servant de base au calcul de la prime d'ancienneté et calculées à partir d'une valeur du point assortie d'une majoration de 5 % pour les ouvriers et de 7 % pour les agents de maîtrise d'atelier.</w:t>
      </w:r>
    </w:p>
    <w:p w:rsidR="006D4E98" w:rsidRPr="005E7F8B" w:rsidRDefault="006D4E98" w:rsidP="00F654FC">
      <w:pPr>
        <w:pStyle w:val="Titre5"/>
      </w:pPr>
      <w:r w:rsidRPr="00A5112E">
        <w:t>PAUSE</w:t>
      </w:r>
      <w:r w:rsidRPr="00A5112E">
        <w:rPr>
          <w:shd w:val="clear" w:color="auto" w:fill="FFFFFF"/>
        </w:rPr>
        <w:t xml:space="preserve"> </w:t>
      </w:r>
      <w:r w:rsidRPr="00A5112E">
        <w:t>PAYEE</w:t>
      </w:r>
      <w:r w:rsidRPr="005E7F8B">
        <w:rPr>
          <w:shd w:val="clear" w:color="auto" w:fill="FFFFFF"/>
        </w:rPr>
        <w:t xml:space="preserve"> </w:t>
      </w:r>
    </w:p>
    <w:p w:rsidR="006D4E98" w:rsidRPr="00FD1B10" w:rsidRDefault="006D4E98" w:rsidP="00FD1B10">
      <w:pPr>
        <w:pStyle w:val="Sansinterligne"/>
        <w:numPr>
          <w:ilvl w:val="0"/>
          <w:numId w:val="27"/>
        </w:numPr>
        <w:rPr>
          <w:rFonts w:ascii="Tahoma" w:hAnsi="Tahoma" w:cs="Tahoma"/>
        </w:rPr>
      </w:pPr>
      <w:r w:rsidRPr="00FD1B10">
        <w:rPr>
          <w:rFonts w:ascii="Tahoma" w:hAnsi="Tahoma" w:cs="Tahoma"/>
        </w:rPr>
        <w:t>Travail par poste continu ou journée continue (au moins égal à 7 h 30 de travail avec un arrêt inférieur à 1 h) : pause payée de 1/2 heure</w:t>
      </w:r>
      <w:r w:rsidRPr="00FD1B10">
        <w:rPr>
          <w:rFonts w:ascii="Tahoma" w:hAnsi="Tahoma" w:cs="Tahoma"/>
          <w:shd w:val="clear" w:color="auto" w:fill="FFFFFF"/>
        </w:rPr>
        <w:t xml:space="preserve"> ou, en cas d'impossibilité de prendre la pause, </w:t>
      </w:r>
      <w:r w:rsidRPr="00FD1B10">
        <w:rPr>
          <w:rFonts w:ascii="Tahoma" w:hAnsi="Tahoma" w:cs="Tahoma"/>
        </w:rPr>
        <w:t xml:space="preserve">versement d'un supplément de rémunération correspondant à 1/2 heure de travail, sauf si l'entreprise met à la disposition du personnel </w:t>
      </w:r>
      <w:r w:rsidRPr="00FD1B10">
        <w:rPr>
          <w:rFonts w:ascii="Tahoma" w:hAnsi="Tahoma" w:cs="Tahoma"/>
        </w:rPr>
        <w:lastRenderedPageBreak/>
        <w:t>un restaurant et que l'arrêt est au moins égal à 3/4 d'heure</w:t>
      </w:r>
      <w:r w:rsidRPr="00FD1B10">
        <w:rPr>
          <w:rFonts w:ascii="Tahoma" w:hAnsi="Tahoma" w:cs="Tahoma"/>
          <w:shd w:val="clear" w:color="auto" w:fill="FFFFFF"/>
        </w:rPr>
        <w:t xml:space="preserve"> (dispositions non applicables en cas d'horaires individualisés).</w:t>
      </w:r>
    </w:p>
    <w:p w:rsidR="00FA31DE" w:rsidRDefault="006D4E98" w:rsidP="00FA31DE">
      <w:pPr>
        <w:pStyle w:val="Sansinterligne"/>
        <w:numPr>
          <w:ilvl w:val="0"/>
          <w:numId w:val="27"/>
        </w:numPr>
        <w:rPr>
          <w:rFonts w:ascii="Tahoma" w:hAnsi="Tahoma" w:cs="Tahoma"/>
        </w:rPr>
      </w:pPr>
      <w:r w:rsidRPr="00FD1B10">
        <w:rPr>
          <w:rFonts w:ascii="Tahoma" w:hAnsi="Tahoma" w:cs="Tahoma"/>
        </w:rPr>
        <w:t>Travail en équipes ou postes successifs (durée de travail au moins égale à 4 h) : pause payée de 1/2 heure ou, en cas d'impossibilité de prendre la pause, versement d'un supplément de rémunération correspondant à 1/2 heure de travail.</w:t>
      </w:r>
      <w:r w:rsidR="00FA31DE">
        <w:rPr>
          <w:rFonts w:ascii="Tahoma" w:hAnsi="Tahoma" w:cs="Tahoma"/>
        </w:rPr>
        <w:t>*</w:t>
      </w:r>
    </w:p>
    <w:p w:rsidR="00FA31DE" w:rsidRPr="00FD1B10" w:rsidRDefault="00FA31DE" w:rsidP="00FA31DE">
      <w:pPr>
        <w:pStyle w:val="Titre2"/>
      </w:pPr>
      <w:r>
        <w:t>Calcul de la prime d</w:t>
      </w:r>
      <w:r>
        <w:t>’ancienneté</w:t>
      </w:r>
    </w:p>
    <w:p w:rsidR="00FA31DE" w:rsidRDefault="00FA31DE" w:rsidP="00FA31DE">
      <w:pPr>
        <w:pStyle w:val="Sansinterligne"/>
        <w:rPr>
          <w:rFonts w:ascii="Tahoma" w:hAnsi="Tahoma" w:cs="Tahoma"/>
        </w:rPr>
      </w:pPr>
      <w:r w:rsidRPr="00FD1B10">
        <w:rPr>
          <w:rFonts w:ascii="Tahoma" w:hAnsi="Tahoma" w:cs="Tahoma"/>
        </w:rPr>
        <w:t xml:space="preserve">La valeur du point est fixée par accord à </w:t>
      </w:r>
      <w:r>
        <w:rPr>
          <w:rFonts w:ascii="Tahoma" w:hAnsi="Tahoma" w:cs="Tahoma"/>
        </w:rPr>
        <w:t>5.53</w:t>
      </w:r>
      <w:r w:rsidRPr="00FD1B10">
        <w:rPr>
          <w:rFonts w:ascii="Tahoma" w:hAnsi="Tahoma" w:cs="Tahoma"/>
        </w:rPr>
        <w:t xml:space="preserve"> euros, applicable depuis le 1er janvier 201</w:t>
      </w:r>
      <w:r>
        <w:rPr>
          <w:rFonts w:ascii="Tahoma" w:hAnsi="Tahoma" w:cs="Tahoma"/>
        </w:rPr>
        <w:t>9</w:t>
      </w:r>
      <w:r w:rsidRPr="00FD1B10">
        <w:rPr>
          <w:rFonts w:ascii="Tahoma" w:hAnsi="Tahoma" w:cs="Tahoma"/>
        </w:rPr>
        <w:t xml:space="preserve"> (c’est l’accord lui-même qui détermine sa date d’application). Donc le revenu minimum hiérarchique (RMH) servant de base au calcul de la prime est: coefficient x </w:t>
      </w:r>
      <w:r>
        <w:rPr>
          <w:rFonts w:ascii="Tahoma" w:hAnsi="Tahoma" w:cs="Tahoma"/>
        </w:rPr>
        <w:t xml:space="preserve">5.53 </w:t>
      </w:r>
      <w:r w:rsidRPr="00FD1B10">
        <w:rPr>
          <w:rFonts w:ascii="Tahoma" w:hAnsi="Tahoma" w:cs="Tahoma"/>
        </w:rPr>
        <w:t xml:space="preserve">euros (valeur du point) = </w:t>
      </w:r>
      <w:r>
        <w:rPr>
          <w:rFonts w:ascii="Tahoma" w:hAnsi="Tahoma" w:cs="Tahoma"/>
        </w:rPr>
        <w:t>XX</w:t>
      </w:r>
      <w:r w:rsidRPr="00FD1B10">
        <w:rPr>
          <w:rFonts w:ascii="Tahoma" w:hAnsi="Tahoma" w:cs="Tahoma"/>
        </w:rPr>
        <w:t xml:space="preserve"> </w:t>
      </w:r>
      <w:r>
        <w:rPr>
          <w:rFonts w:ascii="Tahoma" w:hAnsi="Tahoma" w:cs="Tahoma"/>
        </w:rPr>
        <w:t>€</w:t>
      </w:r>
      <w:r w:rsidRPr="00FD1B10">
        <w:rPr>
          <w:rFonts w:ascii="Tahoma" w:hAnsi="Tahoma" w:cs="Tahoma"/>
        </w:rPr>
        <w:t xml:space="preserve">. Comme vous êtes ouvrier, on majore cette somme de 5 % (accord de 1983), soit : </w:t>
      </w:r>
      <w:r>
        <w:rPr>
          <w:rFonts w:ascii="Tahoma" w:hAnsi="Tahoma" w:cs="Tahoma"/>
        </w:rPr>
        <w:t>…</w:t>
      </w:r>
      <w:r w:rsidRPr="00FD1B10">
        <w:rPr>
          <w:rFonts w:ascii="Tahoma" w:hAnsi="Tahoma" w:cs="Tahoma"/>
        </w:rPr>
        <w:t xml:space="preserve"> </w:t>
      </w:r>
      <w:r>
        <w:rPr>
          <w:rFonts w:ascii="Tahoma" w:hAnsi="Tahoma" w:cs="Tahoma"/>
        </w:rPr>
        <w:t>€</w:t>
      </w:r>
      <w:r w:rsidRPr="00FD1B10">
        <w:rPr>
          <w:rFonts w:ascii="Tahoma" w:hAnsi="Tahoma" w:cs="Tahoma"/>
        </w:rPr>
        <w:t xml:space="preserve">. Vous avez eu 3 ans d’ancienneté le 1er juin 2017 donc vous percevrez, dès le mois de juillet: </w:t>
      </w:r>
      <w:r>
        <w:rPr>
          <w:rFonts w:ascii="Tahoma" w:hAnsi="Tahoma" w:cs="Tahoma"/>
        </w:rPr>
        <w:t>….</w:t>
      </w:r>
      <w:r w:rsidRPr="00FD1B10">
        <w:rPr>
          <w:rFonts w:ascii="Tahoma" w:hAnsi="Tahoma" w:cs="Tahoma"/>
        </w:rPr>
        <w:t xml:space="preserve"> x 3 % = </w:t>
      </w:r>
      <w:r>
        <w:rPr>
          <w:rFonts w:ascii="Tahoma" w:hAnsi="Tahoma" w:cs="Tahoma"/>
        </w:rPr>
        <w:t>MONTANT de la prime d’ancienneté</w:t>
      </w:r>
      <w:r w:rsidRPr="00FD1B10">
        <w:rPr>
          <w:rFonts w:ascii="Tahoma" w:hAnsi="Tahoma" w:cs="Tahoma"/>
        </w:rPr>
        <w:t xml:space="preserve"> </w:t>
      </w:r>
      <w:r>
        <w:rPr>
          <w:rFonts w:ascii="Tahoma" w:hAnsi="Tahoma" w:cs="Tahoma"/>
        </w:rPr>
        <w:t>(€</w:t>
      </w:r>
      <w:r w:rsidRPr="00FD1B10">
        <w:rPr>
          <w:rFonts w:ascii="Tahoma" w:hAnsi="Tahoma" w:cs="Tahoma"/>
        </w:rPr>
        <w:t>/mois</w:t>
      </w:r>
      <w:r>
        <w:rPr>
          <w:rFonts w:ascii="Tahoma" w:hAnsi="Tahoma" w:cs="Tahoma"/>
        </w:rPr>
        <w:t>)</w:t>
      </w:r>
      <w:r w:rsidRPr="00FD1B10">
        <w:rPr>
          <w:rFonts w:ascii="Tahoma" w:hAnsi="Tahoma" w:cs="Tahoma"/>
        </w:rPr>
        <w:t>, en plus de votre salaire de base.</w:t>
      </w:r>
    </w:p>
    <w:p w:rsidR="00FA31DE" w:rsidRDefault="00FA31DE" w:rsidP="00FA31DE">
      <w:pPr>
        <w:pStyle w:val="Sansinterligne"/>
        <w:rPr>
          <w:rFonts w:ascii="Tahoma" w:hAnsi="Tahoma" w:cs="Tahoma"/>
        </w:rPr>
      </w:pPr>
    </w:p>
    <w:p w:rsidR="00FA31DE" w:rsidRPr="00FA31DE" w:rsidRDefault="00FA31DE" w:rsidP="00FA31DE">
      <w:pPr>
        <w:autoSpaceDE w:val="0"/>
        <w:autoSpaceDN w:val="0"/>
        <w:adjustRightInd w:val="0"/>
        <w:spacing w:before="0" w:after="0" w:line="240" w:lineRule="auto"/>
        <w:rPr>
          <w:rFonts w:ascii="Tahoma" w:hAnsi="Tahoma" w:cs="Tahoma"/>
        </w:rPr>
      </w:pPr>
      <w:r w:rsidRPr="00AC3906">
        <w:rPr>
          <w:rFonts w:ascii="Tahoma" w:hAnsi="Tahoma" w:cs="Tahoma"/>
        </w:rPr>
        <w:t>Oui, les accords prévoient que la prime d’ancienneté « supporte » les majorations pour heures supplémentaires. Cela signifie que le montant de la prime doit prendre en compte ces majorations.</w:t>
      </w:r>
    </w:p>
    <w:p w:rsidR="005D3A6D" w:rsidRPr="005E7F8B" w:rsidRDefault="005D3A6D" w:rsidP="00F654FC">
      <w:pPr>
        <w:pStyle w:val="Titre2"/>
      </w:pPr>
      <w:bookmarkStart w:id="29" w:name="_Toc6241695"/>
      <w:r w:rsidRPr="005E7F8B">
        <w:t>LES HEURES SUPPLÉMENTAIRES</w:t>
      </w:r>
      <w:bookmarkEnd w:id="29"/>
      <w:r w:rsidRPr="005E7F8B">
        <w:rPr>
          <w:rFonts w:eastAsia="Tahoma"/>
        </w:rPr>
        <w:t xml:space="preserve"> </w:t>
      </w:r>
    </w:p>
    <w:p w:rsidR="00CD677D" w:rsidRPr="00FD1B10" w:rsidRDefault="005D3A6D" w:rsidP="00FD1B10">
      <w:pPr>
        <w:pStyle w:val="Sansinterligne"/>
        <w:rPr>
          <w:rFonts w:ascii="Tahoma" w:hAnsi="Tahoma" w:cs="Tahoma"/>
        </w:rPr>
      </w:pPr>
      <w:r w:rsidRPr="00FD1B10">
        <w:rPr>
          <w:rFonts w:ascii="Tahoma" w:hAnsi="Tahoma" w:cs="Tahoma"/>
        </w:rPr>
        <w:t xml:space="preserve"> Les heures supplémentaires sont les heures de travail accomplies à la demande ou avec l’accord de l’employeur au-delà de la durée légale du travail.</w:t>
      </w:r>
    </w:p>
    <w:p w:rsidR="005D3A6D" w:rsidRPr="00FD1B10" w:rsidRDefault="005D3A6D" w:rsidP="00FD1B10">
      <w:pPr>
        <w:pStyle w:val="Sansinterligne"/>
        <w:rPr>
          <w:rFonts w:ascii="Tahoma" w:hAnsi="Tahoma" w:cs="Tahoma"/>
        </w:rPr>
      </w:pPr>
      <w:r w:rsidRPr="00FD1B10">
        <w:rPr>
          <w:rFonts w:ascii="Tahoma" w:hAnsi="Tahoma" w:cs="Tahoma"/>
          <w:b/>
        </w:rPr>
        <w:t xml:space="preserve">A SAVOIR : </w:t>
      </w:r>
      <w:r w:rsidRPr="00FD1B10">
        <w:rPr>
          <w:rFonts w:ascii="Tahoma" w:hAnsi="Tahoma" w:cs="Tahoma"/>
        </w:rPr>
        <w:t xml:space="preserve"> </w:t>
      </w:r>
    </w:p>
    <w:p w:rsidR="005D3A6D" w:rsidRPr="00FD1B10" w:rsidRDefault="005D3A6D" w:rsidP="00FD1B10">
      <w:pPr>
        <w:pStyle w:val="Sansinterligne"/>
        <w:rPr>
          <w:rFonts w:ascii="Tahoma" w:hAnsi="Tahoma" w:cs="Tahoma"/>
        </w:rPr>
      </w:pPr>
      <w:r w:rsidRPr="00FD1B10">
        <w:rPr>
          <w:rFonts w:ascii="Tahoma" w:hAnsi="Tahoma" w:cs="Tahoma"/>
        </w:rPr>
        <w:t xml:space="preserve">Les heures effectuées en plus pour générer des jours de RTT ou récupérer des journées de fermeture collective (ponts), …) ainsi que les heures complémentaires ne constituent pas des heures supplémentaires. </w:t>
      </w:r>
    </w:p>
    <w:p w:rsidR="005D3A6D" w:rsidRPr="00FD1B10" w:rsidRDefault="005D3A6D" w:rsidP="00FD1B10">
      <w:pPr>
        <w:pStyle w:val="Sansinterligne"/>
        <w:rPr>
          <w:rFonts w:ascii="Tahoma" w:hAnsi="Tahoma" w:cs="Tahoma"/>
        </w:rPr>
      </w:pPr>
      <w:r w:rsidRPr="00FD1B10">
        <w:rPr>
          <w:rFonts w:ascii="Tahoma" w:hAnsi="Tahoma" w:cs="Tahoma"/>
        </w:rPr>
        <w:t xml:space="preserve">Seul est pris en compte pour le calcul du nombre d'heures supplémentaires le temps de travail effectif ou les temps considérés comme tel. Ainsi il faut décompter les jours fériés, les jours de congés, etc... </w:t>
      </w:r>
    </w:p>
    <w:p w:rsidR="005D3A6D" w:rsidRPr="005E7F8B" w:rsidRDefault="005D3A6D" w:rsidP="00F654FC">
      <w:pPr>
        <w:pStyle w:val="Titre5"/>
      </w:pPr>
      <w:r w:rsidRPr="005E7F8B">
        <w:t xml:space="preserve">MAJORATIONS : </w:t>
      </w:r>
    </w:p>
    <w:p w:rsidR="00F654FC" w:rsidRPr="005E7F8B" w:rsidRDefault="005D3A6D" w:rsidP="005D3A6D">
      <w:pPr>
        <w:ind w:right="14"/>
        <w:rPr>
          <w:rFonts w:ascii="Tahoma" w:hAnsi="Tahoma" w:cs="Tahoma"/>
        </w:rPr>
      </w:pPr>
      <w:r w:rsidRPr="005E7F8B">
        <w:rPr>
          <w:rFonts w:ascii="Tahoma" w:hAnsi="Tahoma" w:cs="Tahoma"/>
        </w:rPr>
        <w:t xml:space="preserve">Pour les heures supplémentaires effectuées dans la semaine les majorations sont de 25% pour les 8 premières heures et 50% pour les suivantes. Pour les heures supplémentaires qui seraient effectuées dans le cadre d’une annualisation les heures dépassant la durée annuelle «normale» du travail sont majorées de 25%. Sur le site OBT, un contingent des heures supplémentaires annuel est considéré à partir de 220h de travail. Le nombre d’heures à travailler dépend du calendrier (Nombre de jours fériés, année bissextile ou pas, etc…) et est examiné avec les délégués syndicaux chaque année. </w:t>
      </w:r>
    </w:p>
    <w:p w:rsidR="005D3A6D" w:rsidRPr="005E7F8B" w:rsidRDefault="005D3A6D" w:rsidP="00F654FC">
      <w:pPr>
        <w:pStyle w:val="Titre5"/>
      </w:pPr>
      <w:r w:rsidRPr="005E7F8B">
        <w:t xml:space="preserve">LES HEURES SUPPLÉMENTAIRES À RÉCUPÉRER </w:t>
      </w:r>
    </w:p>
    <w:p w:rsidR="00223A3D" w:rsidRPr="00CD677D" w:rsidRDefault="005D3A6D" w:rsidP="00CD677D">
      <w:pPr>
        <w:spacing w:after="3" w:line="259" w:lineRule="auto"/>
        <w:rPr>
          <w:rFonts w:ascii="Tahoma" w:hAnsi="Tahoma" w:cs="Tahoma"/>
        </w:rPr>
      </w:pPr>
      <w:r w:rsidRPr="005E7F8B">
        <w:rPr>
          <w:rFonts w:ascii="Tahoma" w:hAnsi="Tahoma" w:cs="Tahoma"/>
        </w:rPr>
        <w:t>Concrètement, au lieu d’être payé de ses heures supplémentaires et des majorations le salarié peut, s’il le veut, avec accord de son hiérarchique, récupérer ses heures ainsi que les majorations converties en temps.</w:t>
      </w:r>
      <w:r w:rsidRPr="005E7F8B">
        <w:rPr>
          <w:rFonts w:ascii="Tahoma" w:eastAsia="Verdana" w:hAnsi="Tahoma" w:cs="Tahoma"/>
          <w:i/>
        </w:rPr>
        <w:t xml:space="preserve"> </w:t>
      </w:r>
    </w:p>
    <w:p w:rsidR="005D3A6D" w:rsidRPr="005E7F8B" w:rsidRDefault="005D3A6D" w:rsidP="00F654FC">
      <w:pPr>
        <w:pStyle w:val="Titre5"/>
      </w:pPr>
      <w:r w:rsidRPr="005E7F8B">
        <w:t xml:space="preserve">LE REPOS COMPENSATEUR </w:t>
      </w:r>
    </w:p>
    <w:p w:rsidR="005D3A6D" w:rsidRPr="005E7F8B" w:rsidRDefault="005D3A6D" w:rsidP="005D3A6D">
      <w:pPr>
        <w:ind w:right="14"/>
        <w:rPr>
          <w:rFonts w:ascii="Tahoma" w:hAnsi="Tahoma" w:cs="Tahoma"/>
        </w:rPr>
      </w:pPr>
      <w:r w:rsidRPr="005E7F8B">
        <w:rPr>
          <w:rFonts w:ascii="Tahoma" w:hAnsi="Tahoma" w:cs="Tahoma"/>
        </w:rPr>
        <w:t xml:space="preserve">Jusqu'en 2008, pour les heures effectuées au-delà de 41 heures par semaine, le repos légal était de 50 % du temps de travail accompli. Ce repos compensateur a été supprimé par la loi d'août 2008. </w:t>
      </w:r>
    </w:p>
    <w:p w:rsidR="005D3A6D" w:rsidRDefault="005D3A6D" w:rsidP="00D51226">
      <w:pPr>
        <w:rPr>
          <w:rFonts w:ascii="Tahoma" w:hAnsi="Tahoma" w:cs="Tahoma"/>
        </w:rPr>
      </w:pPr>
      <w:r w:rsidRPr="005E7F8B">
        <w:rPr>
          <w:rFonts w:ascii="Tahoma" w:hAnsi="Tahoma" w:cs="Tahoma"/>
        </w:rPr>
        <w:t xml:space="preserve">Ce droit existe toujours pour les heures effectuées </w:t>
      </w:r>
      <w:r w:rsidRPr="005E7F8B">
        <w:rPr>
          <w:rFonts w:ascii="Tahoma" w:hAnsi="Tahoma" w:cs="Tahoma"/>
          <w:u w:val="single" w:color="000000"/>
        </w:rPr>
        <w:t>au-delà du contingent</w:t>
      </w:r>
      <w:r w:rsidRPr="005E7F8B">
        <w:rPr>
          <w:rFonts w:ascii="Tahoma" w:hAnsi="Tahoma" w:cs="Tahoma"/>
        </w:rPr>
        <w:t xml:space="preserve"> </w:t>
      </w:r>
      <w:r w:rsidRPr="005E7F8B">
        <w:rPr>
          <w:rFonts w:ascii="Tahoma" w:hAnsi="Tahoma" w:cs="Tahoma"/>
          <w:u w:val="single" w:color="000000"/>
        </w:rPr>
        <w:t>annuel</w:t>
      </w:r>
      <w:r w:rsidRPr="005E7F8B">
        <w:rPr>
          <w:rFonts w:ascii="Tahoma" w:hAnsi="Tahoma" w:cs="Tahoma"/>
        </w:rPr>
        <w:t>, il est de 100 % du temps de travail accompli au-delà de la durée "normale" annuelle du temps de travail.</w:t>
      </w:r>
      <w:r w:rsidR="00D51226" w:rsidRPr="00D51226">
        <w:rPr>
          <w:rFonts w:ascii="Tahoma" w:hAnsi="Tahoma" w:cs="Tahoma"/>
        </w:rPr>
        <w:t xml:space="preserve"> </w:t>
      </w:r>
      <w:r w:rsidR="00D51226" w:rsidRPr="005E7F8B">
        <w:rPr>
          <w:rFonts w:ascii="Tahoma" w:hAnsi="Tahoma" w:cs="Tahoma"/>
        </w:rPr>
        <w:t>La majoration prévue par l’article L. 212-5, 1 du Code du travail, pour les quatre premières heures supplémentaires peut donner lieu au versement d’une majoration de salaire ou être attribuée en repos. Le paiement des heures supplémentaires et de leur majoration peut également être inclus dans la rémunération mensuelle sous la forme d’un forfait dans les conditions prévues à l’article 12 du présent accord.</w:t>
      </w:r>
    </w:p>
    <w:p w:rsidR="005E0674" w:rsidRPr="00EA0C9B" w:rsidRDefault="005E0674" w:rsidP="005E0674">
      <w:pPr>
        <w:pStyle w:val="Titre4"/>
      </w:pPr>
      <w:r w:rsidRPr="00EA0C9B">
        <w:t>Modalités de paiement des heures supplémentaires</w:t>
      </w:r>
    </w:p>
    <w:p w:rsidR="005E0674" w:rsidRPr="005E7F8B" w:rsidRDefault="005E0674" w:rsidP="005E0674">
      <w:pPr>
        <w:rPr>
          <w:rFonts w:ascii="Tahoma" w:hAnsi="Tahoma" w:cs="Tahoma"/>
        </w:rPr>
      </w:pPr>
      <w:r w:rsidRPr="005E7F8B">
        <w:rPr>
          <w:rFonts w:ascii="Tahoma" w:hAnsi="Tahoma" w:cs="Tahoma"/>
        </w:rPr>
        <w:t>Les jours d’absences indemnisées, compris à l’intérieur de la période de décompte de l’horaire, ne sont pas, sauf exceptions dans les cas et les conditions prévus par la loi ou les dispositions conventionnelles applicables, pris en compte pour calculer le nombre et le paiement des heures de travail en heures supplémentaires.</w:t>
      </w:r>
    </w:p>
    <w:p w:rsidR="005E0674" w:rsidRPr="005E7F8B" w:rsidRDefault="005E0674" w:rsidP="005E0674">
      <w:pPr>
        <w:rPr>
          <w:rFonts w:ascii="Tahoma" w:hAnsi="Tahoma" w:cs="Tahoma"/>
        </w:rPr>
      </w:pPr>
      <w:r w:rsidRPr="005E7F8B">
        <w:rPr>
          <w:rFonts w:ascii="Tahoma" w:hAnsi="Tahoma" w:cs="Tahoma"/>
        </w:rPr>
        <w:t>Les heures supplémentaires sont payées sous la forme d’un complément de salaire, assorti des majorations conventionnelles ou légales applicables dans l’entreprise, s’ajoutant au salaire de base et correspondant au nombre d’heures supplémentaires accomplies au cours de chacune des semaines prises en compte dans la période de paie.</w:t>
      </w:r>
    </w:p>
    <w:p w:rsidR="005E0674" w:rsidRPr="005E7F8B" w:rsidRDefault="005E0674" w:rsidP="005E0674">
      <w:pPr>
        <w:rPr>
          <w:rFonts w:ascii="Tahoma" w:hAnsi="Tahoma" w:cs="Tahoma"/>
        </w:rPr>
      </w:pPr>
      <w:r w:rsidRPr="005E7F8B">
        <w:rPr>
          <w:rFonts w:ascii="Tahoma" w:hAnsi="Tahoma" w:cs="Tahoma"/>
        </w:rPr>
        <w:lastRenderedPageBreak/>
        <w:t xml:space="preserve">La rémunération des heures supplémentaires effectuées de façon régulière peut être mensuelle et indépendante, pour l’horaire de travail effectif auquel le salarié est soumis, du nombre de jours travaillés dans le mois, le paiement mensuel ayant pour objet de neutraliser les conséquences de la répartition inégale des jours entre les 12 mois de l’année. </w:t>
      </w:r>
    </w:p>
    <w:tbl>
      <w:tblPr>
        <w:tblpPr w:leftFromText="141" w:rightFromText="141" w:vertAnchor="text" w:horzAnchor="margin" w:tblpY="1246"/>
        <w:tblW w:w="10306" w:type="dxa"/>
        <w:tblCellMar>
          <w:left w:w="0" w:type="dxa"/>
          <w:right w:w="0" w:type="dxa"/>
        </w:tblCellMar>
        <w:tblLook w:val="04A0" w:firstRow="1" w:lastRow="0" w:firstColumn="1" w:lastColumn="0" w:noHBand="0" w:noVBand="1"/>
      </w:tblPr>
      <w:tblGrid>
        <w:gridCol w:w="5793"/>
        <w:gridCol w:w="4513"/>
      </w:tblGrid>
      <w:tr w:rsidR="001A4B04" w:rsidTr="001A4B04">
        <w:trPr>
          <w:trHeight w:val="314"/>
        </w:trPr>
        <w:tc>
          <w:tcPr>
            <w:tcW w:w="5793" w:type="dxa"/>
            <w:tcBorders>
              <w:top w:val="nil"/>
              <w:left w:val="single" w:sz="8" w:space="0" w:color="999999"/>
            </w:tcBorders>
            <w:tcMar>
              <w:top w:w="0" w:type="dxa"/>
              <w:left w:w="108" w:type="dxa"/>
              <w:bottom w:w="0" w:type="dxa"/>
              <w:right w:w="108" w:type="dxa"/>
            </w:tcMar>
            <w:hideMark/>
          </w:tcPr>
          <w:p w:rsidR="001A4B04" w:rsidRPr="00E50AD3" w:rsidRDefault="001A4B04" w:rsidP="001A4B04">
            <w:pPr>
              <w:pStyle w:val="Titre6"/>
              <w:jc w:val="center"/>
              <w:rPr>
                <w:rFonts w:ascii="Arial Black" w:hAnsi="Arial Black"/>
                <w:b/>
              </w:rPr>
            </w:pPr>
            <w:r w:rsidRPr="00E50AD3">
              <w:rPr>
                <w:rFonts w:ascii="Arial Black" w:hAnsi="Arial Black"/>
                <w:b/>
              </w:rPr>
              <w:t>Types d’Absences</w:t>
            </w:r>
          </w:p>
        </w:tc>
        <w:tc>
          <w:tcPr>
            <w:tcW w:w="4513" w:type="dxa"/>
            <w:tcBorders>
              <w:top w:val="nil"/>
            </w:tcBorders>
            <w:tcMar>
              <w:top w:w="0" w:type="dxa"/>
              <w:left w:w="108" w:type="dxa"/>
              <w:bottom w:w="0" w:type="dxa"/>
              <w:right w:w="108" w:type="dxa"/>
            </w:tcMar>
            <w:hideMark/>
          </w:tcPr>
          <w:p w:rsidR="001A4B04" w:rsidRPr="00E50AD3" w:rsidRDefault="001A4B04" w:rsidP="001A4B04">
            <w:pPr>
              <w:pStyle w:val="Titre6"/>
              <w:jc w:val="center"/>
              <w:rPr>
                <w:rFonts w:ascii="Arial Black" w:hAnsi="Arial Black"/>
                <w:b/>
              </w:rPr>
            </w:pPr>
            <w:r w:rsidRPr="00E50AD3">
              <w:rPr>
                <w:rFonts w:ascii="Arial Black" w:hAnsi="Arial Black"/>
                <w:b/>
              </w:rPr>
              <w:t>CadrE LEGAL – Disposition PTQ</w:t>
            </w:r>
          </w:p>
        </w:tc>
      </w:tr>
      <w:tr w:rsidR="001A4B04" w:rsidTr="001A4B04">
        <w:trPr>
          <w:trHeight w:val="314"/>
        </w:trPr>
        <w:tc>
          <w:tcPr>
            <w:tcW w:w="5793" w:type="dxa"/>
            <w:tcBorders>
              <w:bottom w:val="dashed" w:sz="12" w:space="0" w:color="8D2EB0" w:themeColor="accent4" w:themeShade="BF"/>
              <w:right w:val="dashed" w:sz="12" w:space="0" w:color="8D2EB0" w:themeColor="accent4" w:themeShade="BF"/>
            </w:tcBorders>
            <w:tcMar>
              <w:top w:w="0" w:type="dxa"/>
              <w:left w:w="108" w:type="dxa"/>
              <w:bottom w:w="0" w:type="dxa"/>
              <w:right w:w="108" w:type="dxa"/>
            </w:tcMar>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 férié</w:t>
            </w:r>
          </w:p>
        </w:tc>
        <w:tc>
          <w:tcPr>
            <w:tcW w:w="4513" w:type="dxa"/>
            <w:tcBorders>
              <w:left w:val="dashed" w:sz="12" w:space="0" w:color="8D2EB0" w:themeColor="accent4" w:themeShade="BF"/>
              <w:bottom w:val="dashed" w:sz="12" w:space="0" w:color="8D2EB0" w:themeColor="accent4" w:themeShade="BF"/>
            </w:tcBorders>
            <w:tcMar>
              <w:top w:w="0" w:type="dxa"/>
              <w:left w:w="108" w:type="dxa"/>
              <w:bottom w:w="0" w:type="dxa"/>
              <w:right w:w="108" w:type="dxa"/>
            </w:tcMar>
          </w:tcPr>
          <w:p w:rsidR="001A4B04" w:rsidRPr="0094254F" w:rsidRDefault="001A4B04" w:rsidP="001A4B04">
            <w:pPr>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OUI</w:t>
            </w:r>
          </w:p>
        </w:tc>
      </w:tr>
      <w:tr w:rsidR="001A4B04" w:rsidTr="001A4B04">
        <w:trPr>
          <w:trHeight w:val="314"/>
        </w:trPr>
        <w:tc>
          <w:tcPr>
            <w:tcW w:w="5793" w:type="dxa"/>
            <w:tcBorders>
              <w:top w:val="dashed" w:sz="12" w:space="0" w:color="8D2EB0" w:themeColor="accent4" w:themeShade="BF"/>
              <w:bottom w:val="dashed" w:sz="12" w:space="0" w:color="8D2EB0" w:themeColor="accent4" w:themeShade="BF"/>
              <w:right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RHS</w:t>
            </w:r>
          </w:p>
        </w:tc>
        <w:tc>
          <w:tcPr>
            <w:tcW w:w="4513" w:type="dxa"/>
            <w:tcBorders>
              <w:top w:val="dashed" w:sz="12" w:space="0" w:color="8D2EB0" w:themeColor="accent4" w:themeShade="BF"/>
              <w:left w:val="dashed" w:sz="12" w:space="0" w:color="8D2EB0" w:themeColor="accent4" w:themeShade="BF"/>
              <w:bottom w:val="dashed" w:sz="12" w:space="0" w:color="8D2EB0" w:themeColor="accent4" w:themeShade="BF"/>
            </w:tcBorders>
            <w:tcMar>
              <w:top w:w="0" w:type="dxa"/>
              <w:left w:w="108" w:type="dxa"/>
              <w:bottom w:w="0" w:type="dxa"/>
              <w:right w:w="108" w:type="dxa"/>
            </w:tcMar>
            <w:hideMark/>
          </w:tcPr>
          <w:p w:rsidR="001A4B04" w:rsidRPr="0094254F" w:rsidRDefault="001A4B04" w:rsidP="001A4B04">
            <w:pPr>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OUI</w:t>
            </w:r>
          </w:p>
        </w:tc>
      </w:tr>
      <w:tr w:rsidR="001A4B04" w:rsidTr="001A4B04">
        <w:trPr>
          <w:trHeight w:val="314"/>
        </w:trPr>
        <w:tc>
          <w:tcPr>
            <w:tcW w:w="5793" w:type="dxa"/>
            <w:tcBorders>
              <w:top w:val="dashed" w:sz="12" w:space="0" w:color="8D2EB0" w:themeColor="accent4" w:themeShade="BF"/>
              <w:bottom w:val="dashed" w:sz="12" w:space="0" w:color="8D2EB0" w:themeColor="accent4" w:themeShade="BF"/>
              <w:right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Repos Compensateur</w:t>
            </w:r>
          </w:p>
        </w:tc>
        <w:tc>
          <w:tcPr>
            <w:tcW w:w="4513" w:type="dxa"/>
            <w:tcBorders>
              <w:top w:val="dashed" w:sz="12" w:space="0" w:color="8D2EB0" w:themeColor="accent4" w:themeShade="BF"/>
              <w:left w:val="dashed" w:sz="12" w:space="0" w:color="8D2EB0" w:themeColor="accent4" w:themeShade="BF"/>
              <w:bottom w:val="dashed" w:sz="12" w:space="0" w:color="8D2EB0" w:themeColor="accent4" w:themeShade="BF"/>
            </w:tcBorders>
            <w:tcMar>
              <w:top w:w="0" w:type="dxa"/>
              <w:left w:w="108" w:type="dxa"/>
              <w:bottom w:w="0" w:type="dxa"/>
              <w:right w:w="108" w:type="dxa"/>
            </w:tcMar>
            <w:hideMark/>
          </w:tcPr>
          <w:p w:rsidR="001A4B04" w:rsidRPr="0094254F" w:rsidRDefault="001A4B04" w:rsidP="001A4B04">
            <w:pPr>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OUI</w:t>
            </w:r>
          </w:p>
        </w:tc>
      </w:tr>
      <w:tr w:rsidR="001A4B04" w:rsidTr="001A4B04">
        <w:trPr>
          <w:trHeight w:val="241"/>
        </w:trPr>
        <w:tc>
          <w:tcPr>
            <w:tcW w:w="5793" w:type="dxa"/>
            <w:tcBorders>
              <w:top w:val="dashed" w:sz="12" w:space="0" w:color="8D2EB0" w:themeColor="accent4" w:themeShade="BF"/>
              <w:bottom w:val="dashed" w:sz="12" w:space="0" w:color="8D2EB0" w:themeColor="accent4" w:themeShade="BF"/>
              <w:right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JRTT</w:t>
            </w:r>
          </w:p>
        </w:tc>
        <w:tc>
          <w:tcPr>
            <w:tcW w:w="4513" w:type="dxa"/>
            <w:tcBorders>
              <w:top w:val="dashed" w:sz="12" w:space="0" w:color="8D2EB0" w:themeColor="accent4" w:themeShade="BF"/>
              <w:left w:val="dashed" w:sz="12" w:space="0" w:color="8D2EB0" w:themeColor="accent4" w:themeShade="BF"/>
              <w:bottom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p>
        </w:tc>
      </w:tr>
      <w:tr w:rsidR="001A4B04" w:rsidTr="001A4B04">
        <w:trPr>
          <w:trHeight w:val="252"/>
        </w:trPr>
        <w:tc>
          <w:tcPr>
            <w:tcW w:w="5793" w:type="dxa"/>
            <w:tcBorders>
              <w:top w:val="dashed" w:sz="12" w:space="0" w:color="8D2EB0" w:themeColor="accent4" w:themeShade="BF"/>
              <w:bottom w:val="dashed" w:sz="12" w:space="0" w:color="8D2EB0" w:themeColor="accent4" w:themeShade="BF"/>
              <w:right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Congés payés</w:t>
            </w:r>
          </w:p>
        </w:tc>
        <w:tc>
          <w:tcPr>
            <w:tcW w:w="4513" w:type="dxa"/>
            <w:tcBorders>
              <w:top w:val="dashed" w:sz="12" w:space="0" w:color="8D2EB0" w:themeColor="accent4" w:themeShade="BF"/>
              <w:left w:val="dashed" w:sz="12" w:space="0" w:color="8D2EB0" w:themeColor="accent4" w:themeShade="BF"/>
              <w:bottom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p>
        </w:tc>
      </w:tr>
      <w:tr w:rsidR="001A4B04" w:rsidTr="001A4B04">
        <w:trPr>
          <w:trHeight w:val="299"/>
        </w:trPr>
        <w:tc>
          <w:tcPr>
            <w:tcW w:w="5793" w:type="dxa"/>
            <w:tcBorders>
              <w:top w:val="dashed" w:sz="12" w:space="0" w:color="8D2EB0" w:themeColor="accent4" w:themeShade="BF"/>
              <w:bottom w:val="dashed" w:sz="12" w:space="0" w:color="8D2EB0" w:themeColor="accent4" w:themeShade="BF"/>
              <w:right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Congés évènements familiaux</w:t>
            </w:r>
          </w:p>
        </w:tc>
        <w:tc>
          <w:tcPr>
            <w:tcW w:w="4513" w:type="dxa"/>
            <w:tcBorders>
              <w:top w:val="dashed" w:sz="12" w:space="0" w:color="8D2EB0" w:themeColor="accent4" w:themeShade="BF"/>
              <w:left w:val="dashed" w:sz="12" w:space="0" w:color="8D2EB0" w:themeColor="accent4" w:themeShade="BF"/>
              <w:bottom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OUI</w:t>
            </w:r>
          </w:p>
        </w:tc>
      </w:tr>
      <w:tr w:rsidR="001A4B04" w:rsidTr="001A4B04">
        <w:trPr>
          <w:trHeight w:val="241"/>
        </w:trPr>
        <w:tc>
          <w:tcPr>
            <w:tcW w:w="5793" w:type="dxa"/>
            <w:tcBorders>
              <w:top w:val="dashed" w:sz="12" w:space="0" w:color="8D2EB0" w:themeColor="accent4" w:themeShade="BF"/>
              <w:bottom w:val="dashed" w:sz="12" w:space="0" w:color="8D2EB0" w:themeColor="accent4" w:themeShade="BF"/>
              <w:right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Accident de travail (AT)</w:t>
            </w:r>
          </w:p>
        </w:tc>
        <w:tc>
          <w:tcPr>
            <w:tcW w:w="4513" w:type="dxa"/>
            <w:tcBorders>
              <w:top w:val="dashed" w:sz="12" w:space="0" w:color="8D2EB0" w:themeColor="accent4" w:themeShade="BF"/>
              <w:left w:val="dashed" w:sz="12" w:space="0" w:color="8D2EB0" w:themeColor="accent4" w:themeShade="BF"/>
              <w:bottom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p>
        </w:tc>
      </w:tr>
      <w:tr w:rsidR="001A4B04" w:rsidTr="001A4B04">
        <w:trPr>
          <w:trHeight w:val="241"/>
        </w:trPr>
        <w:tc>
          <w:tcPr>
            <w:tcW w:w="5793" w:type="dxa"/>
            <w:tcBorders>
              <w:top w:val="dashed" w:sz="12" w:space="0" w:color="8D2EB0" w:themeColor="accent4" w:themeShade="BF"/>
              <w:bottom w:val="dashed" w:sz="12" w:space="0" w:color="8D2EB0" w:themeColor="accent4" w:themeShade="BF"/>
              <w:right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Maladie</w:t>
            </w:r>
          </w:p>
        </w:tc>
        <w:tc>
          <w:tcPr>
            <w:tcW w:w="4513" w:type="dxa"/>
            <w:tcBorders>
              <w:top w:val="dashed" w:sz="12" w:space="0" w:color="8D2EB0" w:themeColor="accent4" w:themeShade="BF"/>
              <w:left w:val="dashed" w:sz="12" w:space="0" w:color="8D2EB0" w:themeColor="accent4" w:themeShade="BF"/>
              <w:bottom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p>
        </w:tc>
      </w:tr>
      <w:tr w:rsidR="001A4B04" w:rsidTr="001A4B04">
        <w:trPr>
          <w:trHeight w:val="252"/>
        </w:trPr>
        <w:tc>
          <w:tcPr>
            <w:tcW w:w="5793" w:type="dxa"/>
            <w:tcBorders>
              <w:top w:val="dashed" w:sz="12" w:space="0" w:color="8D2EB0" w:themeColor="accent4" w:themeShade="BF"/>
              <w:bottom w:val="dashed" w:sz="12" w:space="0" w:color="8D2EB0" w:themeColor="accent4" w:themeShade="BF"/>
              <w:right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Absence sans solde</w:t>
            </w:r>
          </w:p>
        </w:tc>
        <w:tc>
          <w:tcPr>
            <w:tcW w:w="4513" w:type="dxa"/>
            <w:tcBorders>
              <w:top w:val="dashed" w:sz="12" w:space="0" w:color="8D2EB0" w:themeColor="accent4" w:themeShade="BF"/>
              <w:left w:val="dashed" w:sz="12" w:space="0" w:color="8D2EB0" w:themeColor="accent4" w:themeShade="BF"/>
              <w:bottom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p>
        </w:tc>
      </w:tr>
      <w:tr w:rsidR="001A4B04" w:rsidTr="001A4B04">
        <w:trPr>
          <w:trHeight w:val="230"/>
        </w:trPr>
        <w:tc>
          <w:tcPr>
            <w:tcW w:w="5793" w:type="dxa"/>
            <w:tcBorders>
              <w:top w:val="dashed" w:sz="12" w:space="0" w:color="8D2EB0" w:themeColor="accent4" w:themeShade="BF"/>
              <w:bottom w:val="dashed" w:sz="12" w:space="0" w:color="8D2EB0" w:themeColor="accent4" w:themeShade="BF"/>
              <w:right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bCs/>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CET</w:t>
            </w:r>
          </w:p>
        </w:tc>
        <w:tc>
          <w:tcPr>
            <w:tcW w:w="4513" w:type="dxa"/>
            <w:tcBorders>
              <w:top w:val="dashed" w:sz="12" w:space="0" w:color="8D2EB0" w:themeColor="accent4" w:themeShade="BF"/>
              <w:left w:val="dashed" w:sz="12" w:space="0" w:color="8D2EB0" w:themeColor="accent4" w:themeShade="BF"/>
              <w:bottom w:val="dashed" w:sz="12" w:space="0" w:color="8D2EB0" w:themeColor="accent4" w:themeShade="BF"/>
            </w:tcBorders>
            <w:tcMar>
              <w:top w:w="0" w:type="dxa"/>
              <w:left w:w="108" w:type="dxa"/>
              <w:bottom w:w="0" w:type="dxa"/>
              <w:right w:w="108" w:type="dxa"/>
            </w:tcMar>
            <w:hideMark/>
          </w:tcPr>
          <w:p w:rsidR="001A4B04" w:rsidRPr="0094254F" w:rsidRDefault="001A4B04" w:rsidP="001A4B04">
            <w:pPr>
              <w:autoSpaceDE w:val="0"/>
              <w:autoSpaceDN w:val="0"/>
              <w:spacing w:before="0" w:after="0" w:line="240" w:lineRule="auto"/>
              <w:jc w:val="center"/>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54F">
              <w:rPr>
                <w:rFonts w:ascii="Arial Black" w:hAnsi="Arial Black" w:cs="Calibri"/>
                <w:color w:val="75A42E"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p>
        </w:tc>
      </w:tr>
    </w:tbl>
    <w:p w:rsidR="005E0674" w:rsidRDefault="005E0674" w:rsidP="005E0674">
      <w:pPr>
        <w:rPr>
          <w:rFonts w:ascii="Tahoma" w:hAnsi="Tahoma" w:cs="Tahoma"/>
        </w:rPr>
      </w:pPr>
      <w:r w:rsidRPr="005E7F8B">
        <w:rPr>
          <w:rFonts w:ascii="Tahoma" w:hAnsi="Tahoma" w:cs="Tahoma"/>
        </w:rPr>
        <w:t>La rémunération mensuelle réelle des heures supplémentaires régulières est alors calculée en multipliant le nombre d’heures supplémentaires effectuées chaque semaine par 52/12.</w:t>
      </w:r>
    </w:p>
    <w:p w:rsidR="001A4B04" w:rsidRDefault="001A4B04" w:rsidP="005E0674">
      <w:pPr>
        <w:rPr>
          <w:rFonts w:ascii="Tahoma" w:hAnsi="Tahoma" w:cs="Tahoma"/>
        </w:rPr>
      </w:pPr>
    </w:p>
    <w:p w:rsidR="001A4B04" w:rsidRPr="005E7F8B" w:rsidRDefault="001A4B04" w:rsidP="005E0674">
      <w:pPr>
        <w:rPr>
          <w:rFonts w:ascii="Tahoma" w:hAnsi="Tahoma" w:cs="Tahoma"/>
        </w:rPr>
      </w:pPr>
    </w:p>
    <w:p w:rsidR="005D3A6D" w:rsidRPr="005E7F8B" w:rsidRDefault="005D3A6D" w:rsidP="006D4E98">
      <w:pPr>
        <w:pStyle w:val="Titre1"/>
      </w:pPr>
      <w:bookmarkStart w:id="30" w:name="_Toc6241696"/>
      <w:r w:rsidRPr="005E7F8B">
        <w:t>LA RETRAITE</w:t>
      </w:r>
      <w:bookmarkEnd w:id="30"/>
      <w:r w:rsidRPr="005E7F8B">
        <w:t xml:space="preserve">  </w:t>
      </w:r>
    </w:p>
    <w:p w:rsidR="00223A3D" w:rsidRDefault="001A4B04" w:rsidP="005D3A6D">
      <w:pPr>
        <w:tabs>
          <w:tab w:val="right" w:pos="16320"/>
        </w:tabs>
        <w:spacing w:after="47"/>
        <w:rPr>
          <w:rFonts w:ascii="Tahoma" w:hAnsi="Tahoma" w:cs="Tahoma"/>
        </w:rPr>
      </w:pPr>
      <w:r>
        <w:rPr>
          <w:noProof/>
        </w:rPr>
        <mc:AlternateContent>
          <mc:Choice Requires="wps">
            <w:drawing>
              <wp:anchor distT="182880" distB="182880" distL="182880" distR="182880" simplePos="0" relativeHeight="251687936" behindDoc="0" locked="0" layoutInCell="1" allowOverlap="1">
                <wp:simplePos x="0" y="0"/>
                <wp:positionH relativeFrom="margin">
                  <wp:posOffset>40640</wp:posOffset>
                </wp:positionH>
                <wp:positionV relativeFrom="margin">
                  <wp:align>bottom</wp:align>
                </wp:positionV>
                <wp:extent cx="6731635" cy="869315"/>
                <wp:effectExtent l="0" t="0" r="0" b="6985"/>
                <wp:wrapSquare wrapText="bothSides"/>
                <wp:docPr id="1" name="Forme libre : for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635" cy="869315"/>
                        </a:xfrm>
                        <a:custGeom>
                          <a:avLst/>
                          <a:gdLst>
                            <a:gd name="T0" fmla="*/ 0 w 2971800"/>
                            <a:gd name="T1" fmla="*/ 0 h 1764792"/>
                            <a:gd name="T2" fmla="*/ 2677662 w 2971800"/>
                            <a:gd name="T3" fmla="*/ 0 h 1764792"/>
                            <a:gd name="T4" fmla="*/ 2971800 w 2971800"/>
                            <a:gd name="T5" fmla="*/ 294138 h 1764792"/>
                            <a:gd name="T6" fmla="*/ 2971800 w 2971800"/>
                            <a:gd name="T7" fmla="*/ 1764792 h 1764792"/>
                            <a:gd name="T8" fmla="*/ 0 w 2971800"/>
                            <a:gd name="T9" fmla="*/ 1764792 h 1764792"/>
                            <a:gd name="T10" fmla="*/ 0 w 2971800"/>
                            <a:gd name="T11" fmla="*/ 0 h 1764792"/>
                            <a:gd name="T12" fmla="*/ 0 60000 65536"/>
                            <a:gd name="T13" fmla="*/ 0 60000 65536"/>
                            <a:gd name="T14" fmla="*/ 0 60000 65536"/>
                            <a:gd name="T15" fmla="*/ 0 60000 65536"/>
                            <a:gd name="T16" fmla="*/ 0 60000 65536"/>
                            <a:gd name="T17" fmla="*/ 0 60000 65536"/>
                            <a:gd name="T18" fmla="*/ 0 w 2971800"/>
                            <a:gd name="T19" fmla="*/ 0 h 1764792"/>
                            <a:gd name="T20" fmla="*/ 2971800 w 2971800"/>
                            <a:gd name="T21" fmla="*/ 1764792 h 1764792"/>
                          </a:gdLst>
                          <a:ahLst/>
                          <a:cxnLst>
                            <a:cxn ang="T12">
                              <a:pos x="T0" y="T1"/>
                            </a:cxn>
                            <a:cxn ang="T13">
                              <a:pos x="T2" y="T3"/>
                            </a:cxn>
                            <a:cxn ang="T14">
                              <a:pos x="T4" y="T5"/>
                            </a:cxn>
                            <a:cxn ang="T15">
                              <a:pos x="T6" y="T7"/>
                            </a:cxn>
                            <a:cxn ang="T16">
                              <a:pos x="T8" y="T9"/>
                            </a:cxn>
                            <a:cxn ang="T17">
                              <a:pos x="T10" y="T11"/>
                            </a:cxn>
                          </a:cxnLst>
                          <a:rect l="T18" t="T19" r="T20" b="T21"/>
                          <a:pathLst>
                            <a:path w="2971800" h="1764792">
                              <a:moveTo>
                                <a:pt x="0" y="0"/>
                              </a:moveTo>
                              <a:lnTo>
                                <a:pt x="2677662" y="0"/>
                              </a:lnTo>
                              <a:lnTo>
                                <a:pt x="2971800" y="294138"/>
                              </a:lnTo>
                              <a:lnTo>
                                <a:pt x="2971800" y="1764792"/>
                              </a:lnTo>
                              <a:lnTo>
                                <a:pt x="0" y="1764792"/>
                              </a:lnTo>
                              <a:lnTo>
                                <a:pt x="0" y="0"/>
                              </a:lnTo>
                              <a:close/>
                            </a:path>
                          </a:pathLst>
                        </a:custGeom>
                        <a:gradFill rotWithShape="1">
                          <a:gsLst>
                            <a:gs pos="0">
                              <a:srgbClr val="5D6D85"/>
                            </a:gs>
                            <a:gs pos="50000">
                              <a:srgbClr val="485972"/>
                            </a:gs>
                            <a:gs pos="100000">
                              <a:srgbClr val="334258"/>
                            </a:gs>
                          </a:gsLst>
                          <a:lin ang="5400000"/>
                        </a:gra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984954" w:rsidRPr="0021720C" w:rsidRDefault="00984954" w:rsidP="00713906">
                            <w:pPr>
                              <w:spacing w:after="0" w:line="240" w:lineRule="auto"/>
                              <w:jc w:val="both"/>
                              <w:rPr>
                                <w:rFonts w:cs="Calibri"/>
                                <w:color w:val="D0CECE"/>
                                <w:spacing w:val="10"/>
                              </w:rPr>
                            </w:pPr>
                            <w:r w:rsidRPr="0021720C">
                              <w:rPr>
                                <w:color w:val="D0CECE"/>
                              </w:rPr>
                              <w:t xml:space="preserve">Un Plan d'Épargne pour la Retraite Collective – </w:t>
                            </w:r>
                            <w:r w:rsidRPr="0021720C">
                              <w:rPr>
                                <w:b/>
                                <w:bCs/>
                                <w:color w:val="D0CECE"/>
                              </w:rPr>
                              <w:t>PERCO, pour tous</w:t>
                            </w:r>
                            <w:r w:rsidRPr="0021720C">
                              <w:rPr>
                                <w:color w:val="D0CECE"/>
                              </w:rPr>
                              <w:t xml:space="preserve">, avec une </w:t>
                            </w:r>
                            <w:r w:rsidRPr="0021720C">
                              <w:rPr>
                                <w:b/>
                                <w:bCs/>
                                <w:color w:val="D0CECE"/>
                              </w:rPr>
                              <w:t>aide majorée pour les salariés non-cadres</w:t>
                            </w:r>
                            <w:r w:rsidRPr="0021720C">
                              <w:rPr>
                                <w:color w:val="D0CECE"/>
                              </w:rPr>
                              <w:t xml:space="preserve">.  </w:t>
                            </w:r>
                            <w:r w:rsidRPr="0021720C">
                              <w:rPr>
                                <w:rFonts w:cs="Segoe UI"/>
                                <w:color w:val="D0CECE"/>
                              </w:rPr>
                              <w:t>Le dispositif est</w:t>
                            </w:r>
                            <w:r w:rsidRPr="0021720C">
                              <w:rPr>
                                <w:color w:val="D0CECE"/>
                              </w:rPr>
                              <w:t xml:space="preserve"> mis en place au 1</w:t>
                            </w:r>
                            <w:r w:rsidRPr="0021720C">
                              <w:rPr>
                                <w:color w:val="D0CECE"/>
                                <w:vertAlign w:val="superscript"/>
                              </w:rPr>
                              <w:t>er</w:t>
                            </w:r>
                            <w:r w:rsidRPr="0021720C">
                              <w:rPr>
                                <w:color w:val="D0CECE"/>
                              </w:rPr>
                              <w:t xml:space="preserve"> juillet 2018. </w:t>
                            </w:r>
                            <w:r w:rsidRPr="0021720C">
                              <w:rPr>
                                <w:rFonts w:cs="Segoe UI"/>
                                <w:color w:val="D0CECE"/>
                              </w:rPr>
                              <w:t xml:space="preserve">Le </w:t>
                            </w:r>
                            <w:r w:rsidRPr="0021720C">
                              <w:rPr>
                                <w:color w:val="D0CECE"/>
                              </w:rPr>
                              <w:t>gestionnaire</w:t>
                            </w:r>
                            <w:r w:rsidRPr="0021720C">
                              <w:rPr>
                                <w:rFonts w:cs="Segoe UI"/>
                                <w:color w:val="D0CECE"/>
                              </w:rPr>
                              <w:t xml:space="preserve"> du dispositif est la société </w:t>
                            </w:r>
                            <w:r w:rsidRPr="0021720C">
                              <w:rPr>
                                <w:b/>
                                <w:color w:val="D0CECE"/>
                              </w:rPr>
                              <w:t>Amundi</w:t>
                            </w:r>
                            <w:r w:rsidRPr="0021720C">
                              <w:rPr>
                                <w:rFonts w:cs="Segoe UI"/>
                                <w:color w:val="D0CECE"/>
                              </w:rPr>
                              <w:t>. L’</w:t>
                            </w:r>
                            <w:r w:rsidRPr="0021720C">
                              <w:rPr>
                                <w:color w:val="D0CECE"/>
                              </w:rPr>
                              <w:t>assureur</w:t>
                            </w:r>
                            <w:r w:rsidRPr="0021720C">
                              <w:rPr>
                                <w:rFonts w:cs="Segoe UI"/>
                                <w:color w:val="D0CECE"/>
                              </w:rPr>
                              <w:t xml:space="preserve"> est la </w:t>
                            </w:r>
                            <w:r w:rsidRPr="0021720C">
                              <w:rPr>
                                <w:rFonts w:cs="Segoe UI"/>
                                <w:b/>
                                <w:color w:val="D0CECE"/>
                              </w:rPr>
                              <w:t xml:space="preserve">société </w:t>
                            </w:r>
                            <w:r w:rsidRPr="0021720C">
                              <w:rPr>
                                <w:b/>
                                <w:color w:val="D0CECE"/>
                              </w:rPr>
                              <w:t>crédit agricole assurances</w:t>
                            </w:r>
                            <w:r w:rsidRPr="0021720C">
                              <w:rPr>
                                <w:rFonts w:cs="Segoe UI"/>
                                <w:b/>
                                <w:color w:val="D0CECE"/>
                              </w:rPr>
                              <w:t>.</w:t>
                            </w:r>
                            <w:r w:rsidRPr="0021720C">
                              <w:rPr>
                                <w:rFonts w:cs="Calibri"/>
                                <w:color w:val="D0CECE"/>
                              </w:rPr>
                              <w:t xml:space="preserve"> </w:t>
                            </w:r>
                          </w:p>
                        </w:txbxContent>
                      </wps:txbx>
                      <wps:bodyPr rot="0" vert="horz" wrap="square" lIns="13716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Forme libre : forme 1" o:spid="_x0000_s1030" style="position:absolute;margin-left:3.2pt;margin-top:0;width:530.05pt;height:68.45pt;z-index:251687936;visibility:visible;mso-wrap-style:square;mso-width-percent:0;mso-height-percent:0;mso-wrap-distance-left:14.4pt;mso-wrap-distance-top:14.4pt;mso-wrap-distance-right:14.4pt;mso-wrap-distance-bottom:14.4pt;mso-position-horizontal:absolute;mso-position-horizontal-relative:margin;mso-position-vertical:bottom;mso-position-vertical-relative:margin;mso-width-percent: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" adj="-11796480,,5400" path="m,l2677662,r294138,294138l2971800,1764792,,1764792,,xe" fillcolor="#5d6d85" stroked="f" strokeweight="1pt">
                <v:fill color2="#334258" rotate="t" colors="0 #5d6d85;.5 #485972;1 #334258" focus="100%" type="gradient">
                  <o:fill v:ext="view" type="gradientUnscaled"/>
                </v:fill>
                <v:stroke joinstyle="miter"/>
                <v:formulas/>
                <v:path arrowok="t" o:connecttype="custom" o:connectlocs="0,0;6065362,0;6731635,144889;6731635,869315;0,869315;0,0" o:connectangles="0,0,0,0,0,0" textboxrect="0,0,2971800,1764792"/>
                <v:textbox inset="10.8pt,7.2pt,,7.2pt">
                  <w:txbxContent>
                    <w:p w:rsidR="00984954" w:rsidRPr="0021720C" w:rsidRDefault="00984954" w:rsidP="00713906">
                      <w:pPr>
                        <w:spacing w:after="0" w:line="240" w:lineRule="auto"/>
                        <w:jc w:val="both"/>
                        <w:rPr>
                          <w:rFonts w:cs="Calibri"/>
                          <w:color w:val="D0CECE"/>
                          <w:spacing w:val="10"/>
                        </w:rPr>
                      </w:pPr>
                      <w:r w:rsidRPr="0021720C">
                        <w:rPr>
                          <w:color w:val="D0CECE"/>
                        </w:rPr>
                        <w:t xml:space="preserve">Un Plan d'Épargne pour la Retraite Collective – </w:t>
                      </w:r>
                      <w:r w:rsidRPr="0021720C">
                        <w:rPr>
                          <w:b/>
                          <w:bCs/>
                          <w:color w:val="D0CECE"/>
                        </w:rPr>
                        <w:t>PERCO, pour tous</w:t>
                      </w:r>
                      <w:r w:rsidRPr="0021720C">
                        <w:rPr>
                          <w:color w:val="D0CECE"/>
                        </w:rPr>
                        <w:t xml:space="preserve">, avec une </w:t>
                      </w:r>
                      <w:r w:rsidRPr="0021720C">
                        <w:rPr>
                          <w:b/>
                          <w:bCs/>
                          <w:color w:val="D0CECE"/>
                        </w:rPr>
                        <w:t>aide majorée pour les salariés non-cadres</w:t>
                      </w:r>
                      <w:r w:rsidRPr="0021720C">
                        <w:rPr>
                          <w:color w:val="D0CECE"/>
                        </w:rPr>
                        <w:t xml:space="preserve">.  </w:t>
                      </w:r>
                      <w:r w:rsidRPr="0021720C">
                        <w:rPr>
                          <w:rFonts w:cs="Segoe UI"/>
                          <w:color w:val="D0CECE"/>
                        </w:rPr>
                        <w:t>Le dispositif est</w:t>
                      </w:r>
                      <w:r w:rsidRPr="0021720C">
                        <w:rPr>
                          <w:color w:val="D0CECE"/>
                        </w:rPr>
                        <w:t xml:space="preserve"> mis en place au 1</w:t>
                      </w:r>
                      <w:r w:rsidRPr="0021720C">
                        <w:rPr>
                          <w:color w:val="D0CECE"/>
                          <w:vertAlign w:val="superscript"/>
                        </w:rPr>
                        <w:t>er</w:t>
                      </w:r>
                      <w:r w:rsidRPr="0021720C">
                        <w:rPr>
                          <w:color w:val="D0CECE"/>
                        </w:rPr>
                        <w:t xml:space="preserve"> juillet 2018. </w:t>
                      </w:r>
                      <w:r w:rsidRPr="0021720C">
                        <w:rPr>
                          <w:rFonts w:cs="Segoe UI"/>
                          <w:color w:val="D0CECE"/>
                        </w:rPr>
                        <w:t xml:space="preserve">Le </w:t>
                      </w:r>
                      <w:r w:rsidRPr="0021720C">
                        <w:rPr>
                          <w:color w:val="D0CECE"/>
                        </w:rPr>
                        <w:t>gestionnaire</w:t>
                      </w:r>
                      <w:r w:rsidRPr="0021720C">
                        <w:rPr>
                          <w:rFonts w:cs="Segoe UI"/>
                          <w:color w:val="D0CECE"/>
                        </w:rPr>
                        <w:t xml:space="preserve"> du dispositif est la société </w:t>
                      </w:r>
                      <w:r w:rsidRPr="0021720C">
                        <w:rPr>
                          <w:b/>
                          <w:color w:val="D0CECE"/>
                        </w:rPr>
                        <w:t>Amundi</w:t>
                      </w:r>
                      <w:r w:rsidRPr="0021720C">
                        <w:rPr>
                          <w:rFonts w:cs="Segoe UI"/>
                          <w:color w:val="D0CECE"/>
                        </w:rPr>
                        <w:t>. L’</w:t>
                      </w:r>
                      <w:r w:rsidRPr="0021720C">
                        <w:rPr>
                          <w:color w:val="D0CECE"/>
                        </w:rPr>
                        <w:t>assureur</w:t>
                      </w:r>
                      <w:r w:rsidRPr="0021720C">
                        <w:rPr>
                          <w:rFonts w:cs="Segoe UI"/>
                          <w:color w:val="D0CECE"/>
                        </w:rPr>
                        <w:t xml:space="preserve"> est la </w:t>
                      </w:r>
                      <w:r w:rsidRPr="0021720C">
                        <w:rPr>
                          <w:rFonts w:cs="Segoe UI"/>
                          <w:b/>
                          <w:color w:val="D0CECE"/>
                        </w:rPr>
                        <w:t xml:space="preserve">société </w:t>
                      </w:r>
                      <w:r w:rsidRPr="0021720C">
                        <w:rPr>
                          <w:b/>
                          <w:color w:val="D0CECE"/>
                        </w:rPr>
                        <w:t>crédit agricole assurances</w:t>
                      </w:r>
                      <w:r w:rsidRPr="0021720C">
                        <w:rPr>
                          <w:rFonts w:cs="Segoe UI"/>
                          <w:b/>
                          <w:color w:val="D0CECE"/>
                        </w:rPr>
                        <w:t>.</w:t>
                      </w:r>
                      <w:r w:rsidRPr="0021720C">
                        <w:rPr>
                          <w:rFonts w:cs="Calibri"/>
                          <w:color w:val="D0CECE"/>
                        </w:rPr>
                        <w:t xml:space="preserve"> </w:t>
                      </w:r>
                    </w:p>
                  </w:txbxContent>
                </v:textbox>
                <w10:wrap type="square" anchorx="margin" anchory="margin"/>
              </v:shape>
            </w:pict>
          </mc:Fallback>
        </mc:AlternateContent>
      </w:r>
      <w:r w:rsidR="005D3A6D" w:rsidRPr="005E7F8B">
        <w:rPr>
          <w:rFonts w:ascii="Tahoma" w:hAnsi="Tahoma" w:cs="Tahoma"/>
        </w:rPr>
        <w:t>Des réformes successives ont relevé l'âge de départ à la retraite. Aujourd’hui, dans la plupart des cas, à partir de 2017, l'âge minimum pour partir à la retraite sera de 62 ans, contre 60 ans auparavant. L'âge de départ pour partir à la retraite diffère en fonction de l'année de naissance et le nombre de trimestre nécessaires. Des accords GPEA signé par ALSTOM décrivent les métiers pouvant disposer de CAA pour un départ en retraite</w:t>
      </w:r>
      <w:r w:rsidR="00376A1C">
        <w:rPr>
          <w:rFonts w:ascii="Tahoma" w:hAnsi="Tahoma" w:cs="Tahoma"/>
        </w:rPr>
        <w:t>.</w:t>
      </w:r>
    </w:p>
    <w:p w:rsidR="006D4E98" w:rsidRDefault="00CD677D" w:rsidP="00D23E66">
      <w:pPr>
        <w:tabs>
          <w:tab w:val="right" w:pos="16320"/>
        </w:tabs>
        <w:spacing w:after="47"/>
        <w:rPr>
          <w:rFonts w:ascii="Tahoma" w:eastAsia="Verdana" w:hAnsi="Tahoma" w:cs="Tahoma"/>
          <w:b/>
          <w:u w:val="single" w:color="000000"/>
        </w:rPr>
      </w:pPr>
      <w:r>
        <w:rPr>
          <w:rFonts w:ascii="Tahoma" w:hAnsi="Tahoma" w:cs="Tahoma"/>
          <w:noProof/>
          <w:color w:val="000000" w:themeColor="text1"/>
        </w:rPr>
        <w:drawing>
          <wp:inline distT="0" distB="0" distL="0" distR="0" wp14:anchorId="5C79AAF8" wp14:editId="42A0D90A">
            <wp:extent cx="6737578" cy="3162300"/>
            <wp:effectExtent l="0" t="0" r="6350" b="0"/>
            <wp:docPr id="29" name="Image 29" descr="C:\Users\wakun\AppData\Local\Packages\Microsoft.Office.Desktop_8wekyb3d8bbwe\AC\INetCache\Content.MSO\C6F3AB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kun\AppData\Local\Packages\Microsoft.Office.Desktop_8wekyb3d8bbwe\AC\INetCache\Content.MSO\C6F3AB48.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10697" cy="3243554"/>
                    </a:xfrm>
                    <a:prstGeom prst="rect">
                      <a:avLst/>
                    </a:prstGeom>
                    <a:noFill/>
                    <a:ln>
                      <a:noFill/>
                    </a:ln>
                  </pic:spPr>
                </pic:pic>
              </a:graphicData>
            </a:graphic>
          </wp:inline>
        </w:drawing>
      </w:r>
    </w:p>
    <w:p w:rsidR="00376A1C" w:rsidRPr="00F654FC" w:rsidRDefault="00376A1C" w:rsidP="00F654FC">
      <w:pPr>
        <w:pStyle w:val="Titre5"/>
      </w:pPr>
      <w:r w:rsidRPr="00F654FC">
        <w:lastRenderedPageBreak/>
        <w:t>Retraite progressive dont la date d’effet est fixée à compter du 1er janvier 2018</w:t>
      </w:r>
    </w:p>
    <w:p w:rsidR="00376A1C" w:rsidRPr="00A5112E" w:rsidRDefault="00376A1C" w:rsidP="00CD677D">
      <w:pPr>
        <w:autoSpaceDE w:val="0"/>
        <w:autoSpaceDN w:val="0"/>
        <w:adjustRightInd w:val="0"/>
        <w:spacing w:before="0" w:after="0" w:line="240" w:lineRule="auto"/>
        <w:rPr>
          <w:rFonts w:ascii="Arial" w:hAnsi="Arial" w:cs="Arial"/>
        </w:rPr>
      </w:pPr>
      <w:r w:rsidRPr="00A5112E">
        <w:rPr>
          <w:rFonts w:ascii="Arial" w:hAnsi="Arial" w:cs="Arial"/>
        </w:rPr>
        <w:t>Tout salarié dont la durée de l’activité à temps partiel répond à cette définition peut ouvrir droit à la</w:t>
      </w:r>
    </w:p>
    <w:p w:rsidR="00942109" w:rsidRDefault="00376A1C" w:rsidP="00CD677D">
      <w:pPr>
        <w:tabs>
          <w:tab w:val="right" w:pos="16320"/>
        </w:tabs>
        <w:spacing w:after="47" w:line="240" w:lineRule="auto"/>
        <w:rPr>
          <w:rFonts w:ascii="Arial" w:hAnsi="Arial" w:cs="Arial"/>
          <w:sz w:val="22"/>
          <w:szCs w:val="22"/>
        </w:rPr>
      </w:pPr>
      <w:r w:rsidRPr="00A5112E">
        <w:rPr>
          <w:rFonts w:ascii="Arial" w:hAnsi="Arial" w:cs="Arial"/>
        </w:rPr>
        <w:t>retraite progressive sous réserve des conditions d’âge et de durée d’assurance</w:t>
      </w:r>
      <w:r>
        <w:rPr>
          <w:rFonts w:ascii="Arial" w:hAnsi="Arial" w:cs="Arial"/>
          <w:sz w:val="22"/>
          <w:szCs w:val="22"/>
        </w:rPr>
        <w:t>.</w:t>
      </w:r>
    </w:p>
    <w:p w:rsidR="00376A1C" w:rsidRPr="00F654FC" w:rsidRDefault="00376A1C" w:rsidP="00376A1C">
      <w:pPr>
        <w:pStyle w:val="NormalWeb"/>
        <w:spacing w:before="0" w:beforeAutospacing="0" w:after="0" w:afterAutospacing="0"/>
        <w:textAlignment w:val="baseline"/>
        <w:rPr>
          <w:rFonts w:ascii="Arial" w:hAnsi="Arial" w:cs="Arial"/>
          <w:color w:val="333333"/>
          <w:sz w:val="20"/>
          <w:szCs w:val="20"/>
        </w:rPr>
      </w:pPr>
      <w:r w:rsidRPr="00F654FC">
        <w:rPr>
          <w:rFonts w:ascii="Arial" w:hAnsi="Arial" w:cs="Arial"/>
          <w:color w:val="333333"/>
          <w:sz w:val="20"/>
          <w:szCs w:val="20"/>
        </w:rPr>
        <w:t xml:space="preserve">Selon la durée de travail à temps partiel de l'assuré par rapport à la durée de travail à temps complet applicable à l'entreprise, la fraction de pension provisoire à servir peut être égale à 30 %, 50 % ou 70 % de la pension complète liquidée à titre provisoire </w:t>
      </w:r>
      <w:hyperlink r:id="rId26" w:history="1">
        <w:r w:rsidRPr="00F654FC">
          <w:rPr>
            <w:rStyle w:val="Lienhypertexte"/>
            <w:rFonts w:ascii="Arial" w:hAnsi="Arial" w:cs="Arial"/>
            <w:color w:val="0071B9"/>
            <w:sz w:val="20"/>
            <w:szCs w:val="20"/>
            <w:bdr w:val="none" w:sz="0" w:space="0" w:color="auto" w:frame="1"/>
          </w:rPr>
          <w:t>(article R.351-41 CSS</w:t>
        </w:r>
      </w:hyperlink>
      <w:r w:rsidRPr="00F654FC">
        <w:rPr>
          <w:rFonts w:ascii="Arial" w:hAnsi="Arial" w:cs="Arial"/>
          <w:color w:val="333333"/>
          <w:sz w:val="20"/>
          <w:szCs w:val="20"/>
        </w:rPr>
        <w:t xml:space="preserve">). </w:t>
      </w:r>
    </w:p>
    <w:tbl>
      <w:tblPr>
        <w:tblW w:w="5000" w:type="pct"/>
        <w:tblCellMar>
          <w:left w:w="0" w:type="dxa"/>
          <w:right w:w="0" w:type="dxa"/>
        </w:tblCellMar>
        <w:tblLook w:val="04A0" w:firstRow="1" w:lastRow="0" w:firstColumn="1" w:lastColumn="0" w:noHBand="0" w:noVBand="1"/>
      </w:tblPr>
      <w:tblGrid>
        <w:gridCol w:w="5652"/>
        <w:gridCol w:w="4814"/>
      </w:tblGrid>
      <w:tr w:rsidR="00376A1C" w:rsidTr="00376A1C">
        <w:trPr>
          <w:trHeight w:val="12"/>
        </w:trPr>
        <w:tc>
          <w:tcPr>
            <w:tcW w:w="2700" w:type="pct"/>
            <w:tcBorders>
              <w:top w:val="nil"/>
              <w:left w:val="nil"/>
              <w:bottom w:val="nil"/>
              <w:right w:val="nil"/>
            </w:tcBorders>
            <w:shd w:val="clear" w:color="auto" w:fill="auto"/>
            <w:vAlign w:val="bottom"/>
            <w:hideMark/>
          </w:tcPr>
          <w:p w:rsidR="00376A1C" w:rsidRDefault="00376A1C">
            <w:pPr>
              <w:pStyle w:val="tabentete"/>
              <w:spacing w:before="0" w:beforeAutospacing="0" w:after="150" w:afterAutospacing="0"/>
              <w:textAlignment w:val="baseline"/>
              <w:rPr>
                <w:rFonts w:ascii="Verdana" w:hAnsi="Verdana"/>
                <w:b/>
                <w:bCs/>
                <w:color w:val="333333"/>
                <w:sz w:val="16"/>
                <w:szCs w:val="16"/>
              </w:rPr>
            </w:pPr>
            <w:r>
              <w:rPr>
                <w:rFonts w:ascii="Verdana" w:hAnsi="Verdana"/>
                <w:b/>
                <w:bCs/>
                <w:color w:val="333333"/>
                <w:sz w:val="16"/>
                <w:szCs w:val="16"/>
              </w:rPr>
              <w:t>Durée de l'activité à temps partiel par rapport à la durée légale applicable</w:t>
            </w:r>
          </w:p>
        </w:tc>
        <w:tc>
          <w:tcPr>
            <w:tcW w:w="2300" w:type="pct"/>
            <w:tcBorders>
              <w:top w:val="nil"/>
              <w:left w:val="nil"/>
              <w:bottom w:val="nil"/>
              <w:right w:val="nil"/>
            </w:tcBorders>
            <w:shd w:val="clear" w:color="auto" w:fill="auto"/>
            <w:vAlign w:val="bottom"/>
            <w:hideMark/>
          </w:tcPr>
          <w:p w:rsidR="00376A1C" w:rsidRDefault="00376A1C">
            <w:pPr>
              <w:pStyle w:val="tabentete"/>
              <w:spacing w:before="0" w:beforeAutospacing="0" w:after="150" w:afterAutospacing="0"/>
              <w:textAlignment w:val="baseline"/>
              <w:rPr>
                <w:rFonts w:ascii="Verdana" w:hAnsi="Verdana"/>
                <w:b/>
                <w:bCs/>
                <w:color w:val="333333"/>
                <w:sz w:val="16"/>
                <w:szCs w:val="16"/>
              </w:rPr>
            </w:pPr>
            <w:r>
              <w:rPr>
                <w:rFonts w:ascii="Verdana" w:hAnsi="Verdana"/>
                <w:b/>
                <w:bCs/>
                <w:color w:val="333333"/>
                <w:sz w:val="16"/>
                <w:szCs w:val="16"/>
              </w:rPr>
              <w:t>Pourcentage de la retraite « complète » à servir</w:t>
            </w:r>
          </w:p>
        </w:tc>
      </w:tr>
      <w:tr w:rsidR="00376A1C" w:rsidTr="00376A1C">
        <w:trPr>
          <w:trHeight w:val="12"/>
        </w:trPr>
        <w:tc>
          <w:tcPr>
            <w:tcW w:w="2700" w:type="pct"/>
            <w:tcBorders>
              <w:top w:val="nil"/>
              <w:left w:val="nil"/>
              <w:bottom w:val="nil"/>
              <w:right w:val="nil"/>
            </w:tcBorders>
            <w:shd w:val="clear" w:color="auto" w:fill="auto"/>
            <w:vAlign w:val="bottom"/>
            <w:hideMark/>
          </w:tcPr>
          <w:p w:rsidR="00376A1C" w:rsidRDefault="00376A1C">
            <w:pPr>
              <w:pStyle w:val="tableau"/>
              <w:spacing w:before="0" w:beforeAutospacing="0" w:after="150" w:afterAutospacing="0"/>
              <w:jc w:val="center"/>
              <w:textAlignment w:val="baseline"/>
              <w:rPr>
                <w:rFonts w:ascii="Verdana" w:hAnsi="Verdana"/>
                <w:color w:val="333333"/>
                <w:sz w:val="16"/>
                <w:szCs w:val="16"/>
              </w:rPr>
            </w:pPr>
            <w:r>
              <w:rPr>
                <w:rFonts w:ascii="Verdana" w:hAnsi="Verdana"/>
                <w:color w:val="333333"/>
                <w:sz w:val="16"/>
                <w:szCs w:val="16"/>
              </w:rPr>
              <w:t>moins de 40 %</w:t>
            </w:r>
          </w:p>
        </w:tc>
        <w:tc>
          <w:tcPr>
            <w:tcW w:w="2300" w:type="pct"/>
            <w:tcBorders>
              <w:top w:val="nil"/>
              <w:left w:val="nil"/>
              <w:bottom w:val="nil"/>
              <w:right w:val="nil"/>
            </w:tcBorders>
            <w:shd w:val="clear" w:color="auto" w:fill="auto"/>
            <w:vAlign w:val="bottom"/>
            <w:hideMark/>
          </w:tcPr>
          <w:p w:rsidR="00376A1C" w:rsidRDefault="00376A1C">
            <w:pPr>
              <w:pStyle w:val="tableau"/>
              <w:spacing w:before="0" w:beforeAutospacing="0" w:after="150" w:afterAutospacing="0"/>
              <w:jc w:val="center"/>
              <w:textAlignment w:val="baseline"/>
              <w:rPr>
                <w:rFonts w:ascii="Verdana" w:hAnsi="Verdana"/>
                <w:color w:val="333333"/>
                <w:sz w:val="16"/>
                <w:szCs w:val="16"/>
              </w:rPr>
            </w:pPr>
            <w:r>
              <w:rPr>
                <w:rFonts w:ascii="Verdana" w:hAnsi="Verdana"/>
                <w:color w:val="333333"/>
                <w:sz w:val="16"/>
                <w:szCs w:val="16"/>
              </w:rPr>
              <w:t>70 %</w:t>
            </w:r>
          </w:p>
        </w:tc>
      </w:tr>
      <w:tr w:rsidR="00376A1C" w:rsidTr="00376A1C">
        <w:trPr>
          <w:trHeight w:val="12"/>
        </w:trPr>
        <w:tc>
          <w:tcPr>
            <w:tcW w:w="2700" w:type="pct"/>
            <w:tcBorders>
              <w:top w:val="nil"/>
              <w:left w:val="nil"/>
              <w:bottom w:val="nil"/>
              <w:right w:val="nil"/>
            </w:tcBorders>
            <w:shd w:val="clear" w:color="auto" w:fill="auto"/>
            <w:vAlign w:val="bottom"/>
            <w:hideMark/>
          </w:tcPr>
          <w:p w:rsidR="00376A1C" w:rsidRDefault="00376A1C">
            <w:pPr>
              <w:pStyle w:val="tableau"/>
              <w:spacing w:before="0" w:beforeAutospacing="0" w:after="150" w:afterAutospacing="0"/>
              <w:jc w:val="center"/>
              <w:textAlignment w:val="baseline"/>
              <w:rPr>
                <w:rFonts w:ascii="Verdana" w:hAnsi="Verdana"/>
                <w:color w:val="333333"/>
                <w:sz w:val="16"/>
                <w:szCs w:val="16"/>
              </w:rPr>
            </w:pPr>
            <w:r>
              <w:rPr>
                <w:rFonts w:ascii="Verdana" w:hAnsi="Verdana"/>
                <w:color w:val="333333"/>
                <w:sz w:val="16"/>
                <w:szCs w:val="16"/>
              </w:rPr>
              <w:t>de 40 % à 59,99 %</w:t>
            </w:r>
          </w:p>
        </w:tc>
        <w:tc>
          <w:tcPr>
            <w:tcW w:w="2300" w:type="pct"/>
            <w:tcBorders>
              <w:top w:val="nil"/>
              <w:left w:val="nil"/>
              <w:bottom w:val="nil"/>
              <w:right w:val="nil"/>
            </w:tcBorders>
            <w:shd w:val="clear" w:color="auto" w:fill="auto"/>
            <w:vAlign w:val="bottom"/>
            <w:hideMark/>
          </w:tcPr>
          <w:p w:rsidR="00376A1C" w:rsidRDefault="00376A1C">
            <w:pPr>
              <w:pStyle w:val="tableau"/>
              <w:spacing w:before="0" w:beforeAutospacing="0" w:after="150" w:afterAutospacing="0"/>
              <w:jc w:val="center"/>
              <w:textAlignment w:val="baseline"/>
              <w:rPr>
                <w:rFonts w:ascii="Verdana" w:hAnsi="Verdana"/>
                <w:color w:val="333333"/>
                <w:sz w:val="16"/>
                <w:szCs w:val="16"/>
              </w:rPr>
            </w:pPr>
            <w:r>
              <w:rPr>
                <w:rFonts w:ascii="Verdana" w:hAnsi="Verdana"/>
                <w:color w:val="333333"/>
                <w:sz w:val="16"/>
                <w:szCs w:val="16"/>
              </w:rPr>
              <w:t>50 %</w:t>
            </w:r>
          </w:p>
        </w:tc>
      </w:tr>
      <w:tr w:rsidR="00376A1C" w:rsidTr="00376A1C">
        <w:trPr>
          <w:trHeight w:val="12"/>
        </w:trPr>
        <w:tc>
          <w:tcPr>
            <w:tcW w:w="2700" w:type="pct"/>
            <w:tcBorders>
              <w:top w:val="nil"/>
              <w:left w:val="nil"/>
              <w:bottom w:val="nil"/>
              <w:right w:val="nil"/>
            </w:tcBorders>
            <w:shd w:val="clear" w:color="auto" w:fill="auto"/>
            <w:vAlign w:val="bottom"/>
            <w:hideMark/>
          </w:tcPr>
          <w:p w:rsidR="00376A1C" w:rsidRDefault="00376A1C">
            <w:pPr>
              <w:pStyle w:val="tableau"/>
              <w:spacing w:before="0" w:beforeAutospacing="0" w:after="150" w:afterAutospacing="0"/>
              <w:jc w:val="center"/>
              <w:textAlignment w:val="baseline"/>
              <w:rPr>
                <w:rFonts w:ascii="Verdana" w:hAnsi="Verdana"/>
                <w:color w:val="333333"/>
                <w:sz w:val="16"/>
                <w:szCs w:val="16"/>
              </w:rPr>
            </w:pPr>
            <w:r>
              <w:rPr>
                <w:rFonts w:ascii="Verdana" w:hAnsi="Verdana"/>
                <w:color w:val="333333"/>
                <w:sz w:val="16"/>
                <w:szCs w:val="16"/>
              </w:rPr>
              <w:t>de 60 à 80 %</w:t>
            </w:r>
          </w:p>
        </w:tc>
        <w:tc>
          <w:tcPr>
            <w:tcW w:w="2300" w:type="pct"/>
            <w:tcBorders>
              <w:top w:val="nil"/>
              <w:left w:val="nil"/>
              <w:bottom w:val="nil"/>
              <w:right w:val="nil"/>
            </w:tcBorders>
            <w:shd w:val="clear" w:color="auto" w:fill="auto"/>
            <w:vAlign w:val="bottom"/>
            <w:hideMark/>
          </w:tcPr>
          <w:p w:rsidR="00376A1C" w:rsidRDefault="00376A1C">
            <w:pPr>
              <w:pStyle w:val="tableau"/>
              <w:spacing w:before="0" w:beforeAutospacing="0" w:after="150" w:afterAutospacing="0"/>
              <w:jc w:val="center"/>
              <w:textAlignment w:val="baseline"/>
              <w:rPr>
                <w:rFonts w:ascii="Verdana" w:hAnsi="Verdana"/>
                <w:color w:val="333333"/>
                <w:sz w:val="16"/>
                <w:szCs w:val="16"/>
              </w:rPr>
            </w:pPr>
            <w:r>
              <w:rPr>
                <w:rFonts w:ascii="Verdana" w:hAnsi="Verdana"/>
                <w:color w:val="333333"/>
                <w:sz w:val="16"/>
                <w:szCs w:val="16"/>
              </w:rPr>
              <w:t>30 %</w:t>
            </w:r>
          </w:p>
        </w:tc>
      </w:tr>
    </w:tbl>
    <w:p w:rsidR="00376A1C" w:rsidRDefault="00942109" w:rsidP="00376A1C">
      <w:pPr>
        <w:tabs>
          <w:tab w:val="right" w:pos="16320"/>
        </w:tabs>
        <w:spacing w:after="47"/>
        <w:rPr>
          <w:rFonts w:ascii="Tahoma" w:eastAsia="Verdana" w:hAnsi="Tahoma" w:cs="Tahoma"/>
          <w:b/>
          <w:u w:val="single" w:color="000000"/>
        </w:rPr>
      </w:pPr>
      <w:r>
        <w:rPr>
          <w:rFonts w:ascii="Tahoma" w:eastAsia="Verdana" w:hAnsi="Tahoma" w:cs="Tahoma"/>
          <w:b/>
          <w:u w:val="single" w:color="000000"/>
        </w:rPr>
        <w:t>ALSTOM contribue au fractionnement</w:t>
      </w:r>
      <w:r w:rsidR="00A5112E">
        <w:rPr>
          <w:rFonts w:ascii="Tahoma" w:eastAsia="Verdana" w:hAnsi="Tahoma" w:cs="Tahoma"/>
          <w:b/>
          <w:u w:val="single" w:color="000000"/>
        </w:rPr>
        <w:t>…demande d’information</w:t>
      </w:r>
    </w:p>
    <w:p w:rsidR="00942109" w:rsidRDefault="00942109" w:rsidP="00376A1C">
      <w:pPr>
        <w:tabs>
          <w:tab w:val="right" w:pos="16320"/>
        </w:tabs>
        <w:spacing w:after="47"/>
        <w:rPr>
          <w:rFonts w:ascii="Tahoma" w:eastAsia="Verdana" w:hAnsi="Tahoma" w:cs="Tahoma"/>
          <w:b/>
          <w:u w:val="single" w:color="000000"/>
        </w:rPr>
      </w:pPr>
    </w:p>
    <w:p w:rsidR="00223A3D" w:rsidRDefault="006D4E98" w:rsidP="006D4E98">
      <w:pPr>
        <w:pStyle w:val="Titre1"/>
        <w:rPr>
          <w:rFonts w:eastAsia="Verdana"/>
          <w:u w:color="000000"/>
        </w:rPr>
      </w:pPr>
      <w:bookmarkStart w:id="31" w:name="_Toc6241697"/>
      <w:r>
        <w:rPr>
          <w:rFonts w:eastAsia="Verdana"/>
          <w:u w:color="000000"/>
        </w:rPr>
        <w:t>perco</w:t>
      </w:r>
      <w:bookmarkEnd w:id="31"/>
    </w:p>
    <w:p w:rsidR="006D4E98" w:rsidRPr="00F654FC" w:rsidRDefault="006D4E98" w:rsidP="00F654FC">
      <w:pPr>
        <w:pStyle w:val="Titre5"/>
      </w:pPr>
      <w:r w:rsidRPr="00F654FC">
        <w:rPr>
          <w:rStyle w:val="fontsizexlarge"/>
        </w:rPr>
        <w:t>Les sources d’alimentation de votre PERCO :</w:t>
      </w:r>
    </w:p>
    <w:p w:rsidR="006D4E98" w:rsidRPr="006D4E98" w:rsidRDefault="006D4E98" w:rsidP="00A5112E">
      <w:pPr>
        <w:numPr>
          <w:ilvl w:val="0"/>
          <w:numId w:val="8"/>
        </w:numPr>
        <w:spacing w:beforeAutospacing="1" w:after="0" w:line="240" w:lineRule="auto"/>
        <w:ind w:left="0"/>
        <w:rPr>
          <w:rFonts w:ascii="Tahoma" w:hAnsi="Tahoma" w:cs="Tahoma"/>
          <w:color w:val="333333"/>
        </w:rPr>
      </w:pPr>
      <w:r w:rsidRPr="001D5691">
        <w:rPr>
          <w:rFonts w:ascii="Tahoma" w:hAnsi="Tahoma" w:cs="Tahoma"/>
          <w:color w:val="333333"/>
          <w:u w:val="single"/>
        </w:rPr>
        <w:t>La participation – L’intéressement</w:t>
      </w:r>
      <w:r w:rsidRPr="006D4E98">
        <w:rPr>
          <w:rFonts w:ascii="Tahoma" w:hAnsi="Tahoma" w:cs="Tahoma"/>
          <w:color w:val="333333"/>
        </w:rPr>
        <w:br/>
        <w:t xml:space="preserve">Si vous décidez de placer la somme dans le PERCO en totalité ou en partie, le montant sera bloqué jusqu’à la date de départ à la retraite, et bénéficiera de </w:t>
      </w:r>
      <w:r w:rsidRPr="006D4E98">
        <w:rPr>
          <w:rStyle w:val="lev"/>
          <w:rFonts w:ascii="Tahoma" w:hAnsi="Tahoma" w:cs="Tahoma"/>
          <w:color w:val="333333"/>
        </w:rPr>
        <w:t>l’exonération d’impôt sur le revenu</w:t>
      </w:r>
      <w:r w:rsidRPr="006D4E98">
        <w:rPr>
          <w:rFonts w:ascii="Tahoma" w:hAnsi="Tahoma" w:cs="Tahoma"/>
          <w:color w:val="333333"/>
        </w:rPr>
        <w:t>.</w:t>
      </w:r>
    </w:p>
    <w:p w:rsidR="006D4E98" w:rsidRPr="006D4E98" w:rsidRDefault="006D4E98" w:rsidP="00A5112E">
      <w:pPr>
        <w:numPr>
          <w:ilvl w:val="0"/>
          <w:numId w:val="8"/>
        </w:numPr>
        <w:spacing w:beforeAutospacing="1" w:after="0" w:line="240" w:lineRule="auto"/>
        <w:ind w:left="0"/>
        <w:rPr>
          <w:rFonts w:ascii="Tahoma" w:hAnsi="Tahoma" w:cs="Tahoma"/>
          <w:color w:val="333333"/>
        </w:rPr>
      </w:pPr>
      <w:r w:rsidRPr="001D5691">
        <w:rPr>
          <w:rFonts w:ascii="Tahoma" w:hAnsi="Tahoma" w:cs="Tahoma"/>
          <w:color w:val="333333"/>
          <w:u w:val="single"/>
        </w:rPr>
        <w:t>Les versements volontaires</w:t>
      </w:r>
      <w:r w:rsidRPr="006D4E98">
        <w:rPr>
          <w:rFonts w:ascii="Tahoma" w:hAnsi="Tahoma" w:cs="Tahoma"/>
          <w:color w:val="333333"/>
        </w:rPr>
        <w:br/>
        <w:t>Vous avez la possibilité d’effectuer des versements à tout moment et sans frais.</w:t>
      </w:r>
      <w:r w:rsidRPr="006D4E98">
        <w:rPr>
          <w:rFonts w:ascii="Tahoma" w:hAnsi="Tahoma" w:cs="Tahoma"/>
          <w:color w:val="333333"/>
        </w:rPr>
        <w:br/>
        <w:t>Montant minimum par versement : 100 €.</w:t>
      </w:r>
      <w:r w:rsidRPr="006D4E98">
        <w:rPr>
          <w:rFonts w:ascii="Tahoma" w:hAnsi="Tahoma" w:cs="Tahoma"/>
          <w:color w:val="333333"/>
        </w:rPr>
        <w:br/>
        <w:t xml:space="preserve">Maximum annuel de versement : 25% de votre rémunération annuelle brute (intéressement inclus) </w:t>
      </w:r>
    </w:p>
    <w:p w:rsidR="006D4E98" w:rsidRPr="006D4E98" w:rsidRDefault="006D4E98" w:rsidP="001D5691">
      <w:pPr>
        <w:pStyle w:val="NormalWeb"/>
        <w:spacing w:before="0" w:beforeAutospacing="0" w:after="0" w:afterAutospacing="0"/>
        <w:ind w:left="720"/>
        <w:jc w:val="right"/>
        <w:rPr>
          <w:rFonts w:ascii="Tahoma" w:hAnsi="Tahoma" w:cs="Tahoma"/>
          <w:color w:val="333333"/>
          <w:sz w:val="20"/>
          <w:szCs w:val="20"/>
        </w:rPr>
      </w:pPr>
      <w:r w:rsidRPr="006D4E98">
        <w:rPr>
          <w:rFonts w:ascii="Tahoma" w:hAnsi="Tahoma" w:cs="Tahoma"/>
          <w:color w:val="333333"/>
          <w:sz w:val="20"/>
          <w:szCs w:val="20"/>
        </w:rPr>
        <w:t xml:space="preserve">Lien vers le formulaire : </w:t>
      </w:r>
      <w:hyperlink r:id="rId27" w:history="1">
        <w:r w:rsidRPr="006D4E98">
          <w:rPr>
            <w:rStyle w:val="Lienhypertexte"/>
            <w:rFonts w:ascii="Tahoma" w:hAnsi="Tahoma" w:cs="Tahoma"/>
            <w:color w:val="004E8C"/>
            <w:sz w:val="20"/>
            <w:szCs w:val="20"/>
          </w:rPr>
          <w:t>Formulaire versement volontaire</w:t>
        </w:r>
      </w:hyperlink>
    </w:p>
    <w:p w:rsidR="006D4E98" w:rsidRPr="006D4E98" w:rsidRDefault="006D4E98" w:rsidP="00A5112E">
      <w:pPr>
        <w:numPr>
          <w:ilvl w:val="0"/>
          <w:numId w:val="8"/>
        </w:numPr>
        <w:spacing w:before="0" w:after="0" w:line="240" w:lineRule="auto"/>
        <w:ind w:left="0"/>
        <w:rPr>
          <w:rFonts w:ascii="Tahoma" w:hAnsi="Tahoma" w:cs="Tahoma"/>
          <w:color w:val="333333"/>
        </w:rPr>
      </w:pPr>
      <w:r w:rsidRPr="001D5691">
        <w:rPr>
          <w:rFonts w:ascii="Tahoma" w:hAnsi="Tahoma" w:cs="Tahoma"/>
          <w:color w:val="333333"/>
          <w:u w:val="single"/>
        </w:rPr>
        <w:t>Le transfert des jours de CET</w:t>
      </w:r>
      <w:r w:rsidRPr="006D4E98">
        <w:rPr>
          <w:rFonts w:ascii="Tahoma" w:hAnsi="Tahoma" w:cs="Tahoma"/>
          <w:color w:val="333333"/>
        </w:rPr>
        <w:br/>
        <w:t xml:space="preserve">Vous avez la possibilité, sur demande individuelle, de </w:t>
      </w:r>
      <w:r w:rsidRPr="006D4E98">
        <w:rPr>
          <w:rStyle w:val="lev"/>
          <w:rFonts w:ascii="Tahoma" w:hAnsi="Tahoma" w:cs="Tahoma"/>
          <w:color w:val="333333"/>
        </w:rPr>
        <w:t xml:space="preserve">transférer 10 jours </w:t>
      </w:r>
      <w:r w:rsidRPr="006D4E98">
        <w:rPr>
          <w:rFonts w:ascii="Tahoma" w:hAnsi="Tahoma" w:cs="Tahoma"/>
          <w:color w:val="333333"/>
        </w:rPr>
        <w:t xml:space="preserve">de RTT du </w:t>
      </w:r>
      <w:r w:rsidRPr="006D4E98">
        <w:rPr>
          <w:rStyle w:val="lev"/>
          <w:rFonts w:ascii="Tahoma" w:hAnsi="Tahoma" w:cs="Tahoma"/>
          <w:color w:val="333333"/>
        </w:rPr>
        <w:t>CET</w:t>
      </w:r>
      <w:r w:rsidRPr="006D4E98">
        <w:rPr>
          <w:rFonts w:ascii="Tahoma" w:hAnsi="Tahoma" w:cs="Tahoma"/>
          <w:color w:val="333333"/>
        </w:rPr>
        <w:t xml:space="preserve"> (Compte Epargne Temps) pour alimenter le PERCO. Ces jours bénéficieront d’une exonération d’impôt sur le revenu dans les conditions prévues par les textes. </w:t>
      </w:r>
    </w:p>
    <w:p w:rsidR="006D4E98" w:rsidRPr="006D4E98" w:rsidRDefault="006D4E98" w:rsidP="001D5691">
      <w:pPr>
        <w:pStyle w:val="NormalWeb"/>
        <w:spacing w:before="0" w:beforeAutospacing="0" w:after="0" w:afterAutospacing="0"/>
        <w:ind w:left="720"/>
        <w:jc w:val="right"/>
        <w:rPr>
          <w:rFonts w:ascii="Tahoma" w:hAnsi="Tahoma" w:cs="Tahoma"/>
          <w:color w:val="333333"/>
          <w:sz w:val="20"/>
          <w:szCs w:val="20"/>
        </w:rPr>
      </w:pPr>
      <w:r w:rsidRPr="006D4E98">
        <w:rPr>
          <w:rFonts w:ascii="Tahoma" w:hAnsi="Tahoma" w:cs="Tahoma"/>
          <w:color w:val="333333"/>
          <w:sz w:val="20"/>
          <w:szCs w:val="20"/>
        </w:rPr>
        <w:t>Lien vers le formulaire :</w:t>
      </w:r>
      <w:hyperlink r:id="rId28" w:history="1">
        <w:r w:rsidRPr="006D4E98">
          <w:rPr>
            <w:rStyle w:val="Lienhypertexte"/>
            <w:rFonts w:ascii="Tahoma" w:hAnsi="Tahoma" w:cs="Tahoma"/>
            <w:color w:val="004E8C"/>
            <w:sz w:val="20"/>
            <w:szCs w:val="20"/>
          </w:rPr>
          <w:t>Transfert jours CET</w:t>
        </w:r>
      </w:hyperlink>
    </w:p>
    <w:p w:rsidR="006D4E98" w:rsidRPr="006D4E98" w:rsidRDefault="006D4E98" w:rsidP="001D5691">
      <w:pPr>
        <w:numPr>
          <w:ilvl w:val="0"/>
          <w:numId w:val="8"/>
        </w:numPr>
        <w:spacing w:after="0" w:line="240" w:lineRule="auto"/>
        <w:ind w:left="0"/>
        <w:rPr>
          <w:rFonts w:ascii="Tahoma" w:hAnsi="Tahoma" w:cs="Tahoma"/>
          <w:color w:val="333333"/>
        </w:rPr>
      </w:pPr>
      <w:r w:rsidRPr="006D4E98">
        <w:rPr>
          <w:rFonts w:ascii="Tahoma" w:hAnsi="Tahoma" w:cs="Tahoma"/>
          <w:color w:val="333333"/>
          <w:u w:val="single"/>
        </w:rPr>
        <w:t>La contribution de l’entreprise : l'abondement</w:t>
      </w:r>
      <w:r w:rsidRPr="006D4E98">
        <w:rPr>
          <w:rFonts w:ascii="Tahoma" w:hAnsi="Tahoma" w:cs="Tahoma"/>
          <w:color w:val="333333"/>
        </w:rPr>
        <w:br/>
        <w:t>L’entreprise vous aide à épargner en versant un abondement selon les modalités décrites dans le paragraphe « un abondement avantageux ».</w:t>
      </w:r>
    </w:p>
    <w:p w:rsidR="006D4E98" w:rsidRDefault="006D4E98" w:rsidP="001D5691">
      <w:pPr>
        <w:numPr>
          <w:ilvl w:val="0"/>
          <w:numId w:val="8"/>
        </w:numPr>
        <w:spacing w:line="240" w:lineRule="auto"/>
        <w:ind w:left="0"/>
        <w:rPr>
          <w:rFonts w:ascii="Tahoma" w:hAnsi="Tahoma" w:cs="Tahoma"/>
          <w:color w:val="333333"/>
        </w:rPr>
      </w:pPr>
      <w:r w:rsidRPr="006D4E98">
        <w:rPr>
          <w:rFonts w:ascii="Tahoma" w:hAnsi="Tahoma" w:cs="Tahoma"/>
          <w:color w:val="333333"/>
        </w:rPr>
        <w:t>Le transfert des avoirs provenant d’autres dispositifs d’épargne salariale</w:t>
      </w:r>
      <w:r w:rsidRPr="006D4E98">
        <w:rPr>
          <w:rFonts w:ascii="Tahoma" w:hAnsi="Tahoma" w:cs="Tahoma"/>
          <w:color w:val="333333"/>
        </w:rPr>
        <w:br/>
        <w:t>Si vous avez des avoirs investis dans d’autres PERCO, ces derniers peuvent être transférés vers le PERCO du Groupe Alstom.</w:t>
      </w:r>
    </w:p>
    <w:p w:rsidR="00A5112E" w:rsidRPr="00121C9C" w:rsidRDefault="006D4E98" w:rsidP="001D5691">
      <w:pPr>
        <w:numPr>
          <w:ilvl w:val="0"/>
          <w:numId w:val="8"/>
        </w:numPr>
        <w:spacing w:beforeAutospacing="1" w:line="240" w:lineRule="auto"/>
        <w:ind w:left="0"/>
        <w:rPr>
          <w:rFonts w:ascii="Tahoma" w:hAnsi="Tahoma" w:cs="Tahoma"/>
          <w:color w:val="333333"/>
        </w:rPr>
      </w:pPr>
      <w:r w:rsidRPr="00A5112E">
        <w:rPr>
          <w:rFonts w:ascii="Tahoma" w:eastAsia="Times New Roman" w:hAnsi="Tahoma" w:cs="Tahoma"/>
          <w:lang w:eastAsia="fr-FR"/>
        </w:rPr>
        <w:t xml:space="preserve">Les sommes versées au PERCO issues de la Participation, de l’Intéressement, des Versements Volontaires, du Transfert de jours de CET ainsi que des avoirs disponibles transférés du PEG ou d’autres PEE sont </w:t>
      </w:r>
      <w:r w:rsidRPr="00A5112E">
        <w:rPr>
          <w:rFonts w:ascii="Tahoma" w:eastAsia="Times New Roman" w:hAnsi="Tahoma" w:cs="Tahoma"/>
          <w:b/>
          <w:bCs/>
          <w:u w:val="single"/>
          <w:lang w:eastAsia="fr-FR"/>
        </w:rPr>
        <w:t>abondés par l’entreprise</w:t>
      </w:r>
      <w:r w:rsidRPr="00A5112E">
        <w:rPr>
          <w:rFonts w:ascii="Tahoma" w:eastAsia="Times New Roman" w:hAnsi="Tahoma" w:cs="Tahoma"/>
          <w:lang w:eastAsia="fr-FR"/>
        </w:rPr>
        <w:t xml:space="preserve"> dans les conditions suivantes :</w:t>
      </w:r>
    </w:p>
    <w:tbl>
      <w:tblPr>
        <w:tblStyle w:val="Grilledutableau"/>
        <w:tblW w:w="0" w:type="auto"/>
        <w:tblLook w:val="04A0" w:firstRow="1" w:lastRow="0" w:firstColumn="1" w:lastColumn="0" w:noHBand="0" w:noVBand="1"/>
      </w:tblPr>
      <w:tblGrid>
        <w:gridCol w:w="5236"/>
        <w:gridCol w:w="5230"/>
      </w:tblGrid>
      <w:tr w:rsidR="00A5112E" w:rsidTr="001D5691">
        <w:trPr>
          <w:trHeight w:val="1267"/>
        </w:trPr>
        <w:tc>
          <w:tcPr>
            <w:tcW w:w="5160" w:type="dxa"/>
            <w:tcBorders>
              <w:top w:val="nil"/>
              <w:left w:val="nil"/>
              <w:bottom w:val="nil"/>
              <w:right w:val="nil"/>
            </w:tcBorders>
          </w:tcPr>
          <w:p w:rsidR="00A5112E" w:rsidRPr="00A5112E" w:rsidRDefault="00A5112E" w:rsidP="00CD677D">
            <w:pPr>
              <w:pStyle w:val="Titre2"/>
              <w:outlineLvl w:val="1"/>
              <w:rPr>
                <w:rFonts w:eastAsia="Times New Roman"/>
              </w:rPr>
            </w:pPr>
            <w:bookmarkStart w:id="32" w:name="_Toc6241698"/>
            <w:r w:rsidRPr="00A5112E">
              <w:rPr>
                <w:u w:val="single"/>
              </w:rPr>
              <w:t>Salariés non Cadres</w:t>
            </w:r>
            <w:r w:rsidRPr="00A5112E">
              <w:t>, jusqu'à 900€ par dans les conditions ci-dessous  :</w:t>
            </w:r>
            <w:bookmarkEnd w:id="32"/>
          </w:p>
          <w:p w:rsidR="00A5112E" w:rsidRDefault="00A5112E" w:rsidP="00CD677D">
            <w:pPr>
              <w:pStyle w:val="Titre2"/>
              <w:outlineLvl w:val="1"/>
              <w:rPr>
                <w:rFonts w:eastAsia="Times New Roman"/>
                <w:u w:val="single"/>
              </w:rPr>
            </w:pPr>
          </w:p>
        </w:tc>
        <w:tc>
          <w:tcPr>
            <w:tcW w:w="5154" w:type="dxa"/>
            <w:tcBorders>
              <w:top w:val="nil"/>
              <w:left w:val="nil"/>
              <w:bottom w:val="nil"/>
              <w:right w:val="nil"/>
            </w:tcBorders>
          </w:tcPr>
          <w:p w:rsidR="00A5112E" w:rsidRDefault="00A5112E" w:rsidP="00CD677D">
            <w:pPr>
              <w:pStyle w:val="Titre2"/>
              <w:outlineLvl w:val="1"/>
              <w:rPr>
                <w:rFonts w:eastAsia="Times New Roman"/>
              </w:rPr>
            </w:pPr>
            <w:bookmarkStart w:id="33" w:name="_Toc6241699"/>
            <w:r w:rsidRPr="001B4116">
              <w:rPr>
                <w:rFonts w:eastAsia="Times New Roman"/>
                <w:u w:val="single"/>
              </w:rPr>
              <w:t>Salariés Ingénieurs et Cadres</w:t>
            </w:r>
            <w:r w:rsidRPr="001B4116">
              <w:rPr>
                <w:rFonts w:eastAsia="Times New Roman"/>
              </w:rPr>
              <w:t>, jusqu'à 500€ par dans les conditions ci-dessous  :</w:t>
            </w:r>
            <w:bookmarkEnd w:id="33"/>
            <w:r w:rsidRPr="00A5112E">
              <w:rPr>
                <w:noProof/>
              </w:rPr>
              <w:t xml:space="preserve"> </w:t>
            </w:r>
          </w:p>
          <w:p w:rsidR="00A5112E" w:rsidRDefault="00A5112E" w:rsidP="00CD677D">
            <w:pPr>
              <w:pStyle w:val="Titre2"/>
              <w:outlineLvl w:val="1"/>
              <w:rPr>
                <w:rFonts w:eastAsia="Times New Roman"/>
                <w:u w:val="single"/>
              </w:rPr>
            </w:pPr>
          </w:p>
        </w:tc>
      </w:tr>
      <w:tr w:rsidR="00A5112E" w:rsidTr="001D5691">
        <w:trPr>
          <w:trHeight w:val="2329"/>
        </w:trPr>
        <w:tc>
          <w:tcPr>
            <w:tcW w:w="5160" w:type="dxa"/>
            <w:tcBorders>
              <w:top w:val="nil"/>
              <w:left w:val="nil"/>
              <w:bottom w:val="nil"/>
              <w:right w:val="nil"/>
            </w:tcBorders>
          </w:tcPr>
          <w:p w:rsidR="00A5112E" w:rsidRDefault="00A5112E" w:rsidP="00CD677D">
            <w:pPr>
              <w:jc w:val="center"/>
              <w:rPr>
                <w:rFonts w:ascii="Tahoma" w:eastAsia="Times New Roman" w:hAnsi="Tahoma" w:cs="Tahoma"/>
                <w:u w:val="single"/>
              </w:rPr>
            </w:pPr>
            <w:r>
              <w:rPr>
                <w:rFonts w:ascii="Tahoma" w:hAnsi="Tahoma" w:cs="Tahoma"/>
                <w:noProof/>
                <w:color w:val="333333"/>
              </w:rPr>
              <w:drawing>
                <wp:inline distT="0" distB="0" distL="0" distR="0" wp14:anchorId="753ACEC6" wp14:editId="6C1B77CA">
                  <wp:extent cx="3299567" cy="989330"/>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4-14 (1).png"/>
                          <pic:cNvPicPr/>
                        </pic:nvPicPr>
                        <pic:blipFill rotWithShape="1">
                          <a:blip r:embed="rId29">
                            <a:extLst>
                              <a:ext uri="{28A0092B-C50C-407E-A947-70E740481C1C}">
                                <a14:useLocalDpi xmlns:a14="http://schemas.microsoft.com/office/drawing/2010/main" val="0"/>
                              </a:ext>
                            </a:extLst>
                          </a:blip>
                          <a:srcRect l="11645" t="12684" r="11793" b="10577"/>
                          <a:stretch/>
                        </pic:blipFill>
                        <pic:spPr bwMode="auto">
                          <a:xfrm>
                            <a:off x="0" y="0"/>
                            <a:ext cx="3387681" cy="1015750"/>
                          </a:xfrm>
                          <a:prstGeom prst="rect">
                            <a:avLst/>
                          </a:prstGeom>
                          <a:ln>
                            <a:noFill/>
                          </a:ln>
                          <a:extLst>
                            <a:ext uri="{53640926-AAD7-44D8-BBD7-CCE9431645EC}">
                              <a14:shadowObscured xmlns:a14="http://schemas.microsoft.com/office/drawing/2010/main"/>
                            </a:ext>
                          </a:extLst>
                        </pic:spPr>
                      </pic:pic>
                    </a:graphicData>
                  </a:graphic>
                </wp:inline>
              </w:drawing>
            </w:r>
          </w:p>
        </w:tc>
        <w:tc>
          <w:tcPr>
            <w:tcW w:w="5154" w:type="dxa"/>
            <w:tcBorders>
              <w:top w:val="nil"/>
              <w:left w:val="nil"/>
              <w:bottom w:val="nil"/>
              <w:right w:val="nil"/>
            </w:tcBorders>
          </w:tcPr>
          <w:p w:rsidR="00A5112E" w:rsidRDefault="00A5112E" w:rsidP="001B4116">
            <w:pPr>
              <w:rPr>
                <w:rFonts w:ascii="Tahoma" w:eastAsia="Times New Roman" w:hAnsi="Tahoma" w:cs="Tahoma"/>
                <w:u w:val="single"/>
              </w:rPr>
            </w:pPr>
            <w:r>
              <w:rPr>
                <w:rFonts w:ascii="Tahoma" w:eastAsia="Times New Roman" w:hAnsi="Tahoma" w:cs="Tahoma"/>
                <w:noProof/>
              </w:rPr>
              <w:drawing>
                <wp:inline distT="0" distB="0" distL="0" distR="0" wp14:anchorId="55CE2AE4" wp14:editId="61503D4D">
                  <wp:extent cx="3294592" cy="984796"/>
                  <wp:effectExtent l="0" t="0" r="127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04-14.png"/>
                          <pic:cNvPicPr/>
                        </pic:nvPicPr>
                        <pic:blipFill rotWithShape="1">
                          <a:blip r:embed="rId30">
                            <a:extLst>
                              <a:ext uri="{28A0092B-C50C-407E-A947-70E740481C1C}">
                                <a14:useLocalDpi xmlns:a14="http://schemas.microsoft.com/office/drawing/2010/main" val="0"/>
                              </a:ext>
                            </a:extLst>
                          </a:blip>
                          <a:srcRect l="10056" t="9668" r="8588" b="8533"/>
                          <a:stretch/>
                        </pic:blipFill>
                        <pic:spPr bwMode="auto">
                          <a:xfrm>
                            <a:off x="0" y="0"/>
                            <a:ext cx="3370673" cy="1007538"/>
                          </a:xfrm>
                          <a:prstGeom prst="rect">
                            <a:avLst/>
                          </a:prstGeom>
                          <a:ln>
                            <a:noFill/>
                          </a:ln>
                          <a:extLst>
                            <a:ext uri="{53640926-AAD7-44D8-BBD7-CCE9431645EC}">
                              <a14:shadowObscured xmlns:a14="http://schemas.microsoft.com/office/drawing/2010/main"/>
                            </a:ext>
                          </a:extLst>
                        </pic:spPr>
                      </pic:pic>
                    </a:graphicData>
                  </a:graphic>
                </wp:inline>
              </w:drawing>
            </w:r>
          </w:p>
        </w:tc>
      </w:tr>
    </w:tbl>
    <w:p w:rsidR="001A4B04" w:rsidRDefault="001A4B04" w:rsidP="00D23E66">
      <w:pPr>
        <w:tabs>
          <w:tab w:val="right" w:pos="16320"/>
        </w:tabs>
        <w:spacing w:after="47"/>
        <w:rPr>
          <w:rFonts w:ascii="Tahoma" w:eastAsia="Verdana" w:hAnsi="Tahoma" w:cs="Tahoma"/>
          <w:b/>
          <w:u w:val="single" w:color="000000"/>
        </w:rPr>
      </w:pPr>
    </w:p>
    <w:p w:rsidR="001D5691" w:rsidRDefault="001D5691" w:rsidP="00D23E66">
      <w:pPr>
        <w:tabs>
          <w:tab w:val="right" w:pos="16320"/>
        </w:tabs>
        <w:spacing w:after="47"/>
        <w:rPr>
          <w:rFonts w:ascii="Tahoma" w:eastAsia="Verdana" w:hAnsi="Tahoma" w:cs="Tahoma"/>
          <w:b/>
          <w:u w:val="single" w:color="000000"/>
        </w:rPr>
      </w:pPr>
      <w:bookmarkStart w:id="34" w:name="_GoBack"/>
      <w:bookmarkEnd w:id="34"/>
    </w:p>
    <w:p w:rsidR="006D4E98" w:rsidRPr="00897842" w:rsidRDefault="00942109" w:rsidP="00897842">
      <w:pPr>
        <w:pStyle w:val="Titre1"/>
        <w:rPr>
          <w:rFonts w:eastAsia="Verdana"/>
        </w:rPr>
      </w:pPr>
      <w:bookmarkStart w:id="35" w:name="_Toc6241700"/>
      <w:r>
        <w:rPr>
          <w:rFonts w:eastAsia="Verdana"/>
        </w:rPr>
        <w:t>PER Entreprise (article 83)</w:t>
      </w:r>
      <w:bookmarkEnd w:id="35"/>
    </w:p>
    <w:p w:rsidR="00713906" w:rsidRPr="004C3153" w:rsidRDefault="001A4B04" w:rsidP="00021A9E">
      <w:pPr>
        <w:shd w:val="clear" w:color="auto" w:fill="A1C5E0" w:themeFill="accent5" w:themeFillTint="99"/>
        <w:spacing w:before="0" w:after="0"/>
        <w:rPr>
          <w:rFonts w:ascii="Tahoma" w:hAnsi="Tahoma" w:cs="Tahoma"/>
          <w:bCs/>
          <w:color w:val="444444"/>
        </w:rPr>
      </w:pPr>
      <w:r w:rsidRPr="00DE0605">
        <w:rPr>
          <w:noProof/>
        </w:rPr>
        <w:drawing>
          <wp:anchor distT="0" distB="0" distL="114300" distR="114300" simplePos="0" relativeHeight="251691008" behindDoc="1" locked="0" layoutInCell="1" allowOverlap="1">
            <wp:simplePos x="0" y="0"/>
            <wp:positionH relativeFrom="margin">
              <wp:align>left</wp:align>
            </wp:positionH>
            <wp:positionV relativeFrom="paragraph">
              <wp:posOffset>16510</wp:posOffset>
            </wp:positionV>
            <wp:extent cx="1741805" cy="1615440"/>
            <wp:effectExtent l="0" t="0" r="0" b="3810"/>
            <wp:wrapTight wrapText="bothSides">
              <wp:wrapPolygon edited="0">
                <wp:start x="0" y="0"/>
                <wp:lineTo x="0" y="21396"/>
                <wp:lineTo x="21261" y="21396"/>
                <wp:lineTo x="21261"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l="22189" r="11711" b="54579"/>
                    <a:stretch>
                      <a:fillRect/>
                    </a:stretch>
                  </pic:blipFill>
                  <pic:spPr bwMode="auto">
                    <a:xfrm>
                      <a:off x="0" y="0"/>
                      <a:ext cx="174180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906" w:rsidRPr="004C3153">
        <w:rPr>
          <w:rFonts w:ascii="Tahoma" w:hAnsi="Tahoma" w:cs="Tahoma"/>
          <w:bCs/>
          <w:color w:val="444444"/>
        </w:rPr>
        <w:t>Alstom aide les salariés à se constituer un revenu supplémentaire pour la retraite.</w:t>
      </w:r>
    </w:p>
    <w:p w:rsidR="00713906" w:rsidRPr="004C3153" w:rsidRDefault="00713906" w:rsidP="00021A9E">
      <w:pPr>
        <w:numPr>
          <w:ilvl w:val="0"/>
          <w:numId w:val="7"/>
        </w:numPr>
        <w:shd w:val="clear" w:color="auto" w:fill="A1C5E0" w:themeFill="accent5" w:themeFillTint="99"/>
        <w:spacing w:before="0" w:after="0"/>
        <w:ind w:left="720"/>
        <w:rPr>
          <w:rFonts w:ascii="Tahoma" w:hAnsi="Tahoma" w:cs="Tahoma"/>
        </w:rPr>
      </w:pPr>
      <w:r w:rsidRPr="004C3153">
        <w:rPr>
          <w:rFonts w:ascii="Tahoma" w:hAnsi="Tahoma" w:cs="Tahoma"/>
          <w:color w:val="444444"/>
        </w:rPr>
        <w:t xml:space="preserve">Un Plan d'Épargne Retraite Entreprises (article 83) – </w:t>
      </w:r>
      <w:r w:rsidRPr="004C3153">
        <w:rPr>
          <w:rFonts w:ascii="Tahoma" w:hAnsi="Tahoma" w:cs="Tahoma"/>
          <w:bCs/>
          <w:color w:val="444444"/>
        </w:rPr>
        <w:t>PER Entreprises</w:t>
      </w:r>
      <w:r w:rsidRPr="004C3153">
        <w:rPr>
          <w:rFonts w:ascii="Tahoma" w:hAnsi="Tahoma" w:cs="Tahoma"/>
          <w:color w:val="444444"/>
        </w:rPr>
        <w:t xml:space="preserve"> – pour les </w:t>
      </w:r>
      <w:r w:rsidRPr="004C3153">
        <w:rPr>
          <w:rFonts w:ascii="Tahoma" w:hAnsi="Tahoma" w:cs="Tahoma"/>
          <w:bCs/>
          <w:color w:val="444444"/>
        </w:rPr>
        <w:t>Ingénieurs et Cadres</w:t>
      </w:r>
    </w:p>
    <w:p w:rsidR="00942109" w:rsidRPr="004C3153" w:rsidRDefault="00942109" w:rsidP="00021A9E">
      <w:pPr>
        <w:numPr>
          <w:ilvl w:val="0"/>
          <w:numId w:val="7"/>
        </w:numPr>
        <w:shd w:val="clear" w:color="auto" w:fill="A1C5E0" w:themeFill="accent5" w:themeFillTint="99"/>
        <w:spacing w:before="0" w:after="0"/>
        <w:ind w:left="720"/>
        <w:rPr>
          <w:rFonts w:ascii="Tahoma" w:hAnsi="Tahoma" w:cs="Tahoma"/>
          <w:color w:val="404040" w:themeColor="text1" w:themeTint="BF"/>
        </w:rPr>
      </w:pPr>
      <w:r w:rsidRPr="004C3153">
        <w:rPr>
          <w:rFonts w:ascii="Tahoma" w:hAnsi="Tahoma" w:cs="Tahoma"/>
          <w:color w:val="404040" w:themeColor="text1" w:themeTint="BF"/>
        </w:rPr>
        <w:t>Un PER Entreprises est un contrat d’assurance vie collectif souscrit par l’entreprise pour ses salariés afin de les aider à se constituer un complément de retraite par capitalisation.</w:t>
      </w:r>
    </w:p>
    <w:p w:rsidR="00021A9E" w:rsidRPr="004C3153" w:rsidRDefault="00021A9E" w:rsidP="00021A9E">
      <w:pPr>
        <w:numPr>
          <w:ilvl w:val="0"/>
          <w:numId w:val="7"/>
        </w:numPr>
        <w:shd w:val="clear" w:color="auto" w:fill="A1C5E0" w:themeFill="accent5" w:themeFillTint="99"/>
        <w:spacing w:before="0" w:after="0"/>
        <w:ind w:left="720"/>
        <w:rPr>
          <w:rFonts w:ascii="Tahoma" w:hAnsi="Tahoma" w:cs="Tahoma"/>
          <w:color w:val="404040" w:themeColor="text1" w:themeTint="BF"/>
        </w:rPr>
      </w:pPr>
      <w:r w:rsidRPr="004C3153">
        <w:rPr>
          <w:rFonts w:ascii="Tahoma" w:hAnsi="Tahoma" w:cs="Tahoma"/>
          <w:color w:val="404040" w:themeColor="text1" w:themeTint="BF"/>
        </w:rPr>
        <w:t>l’amélioration du PERCO pour les non-cadres avec un abondement bonifié</w:t>
      </w:r>
    </w:p>
    <w:p w:rsidR="00713906" w:rsidRPr="0021720C" w:rsidRDefault="00713906" w:rsidP="00713906">
      <w:pPr>
        <w:spacing w:before="0" w:after="0" w:line="240" w:lineRule="auto"/>
        <w:jc w:val="right"/>
        <w:rPr>
          <w:color w:val="404040"/>
        </w:rPr>
      </w:pPr>
    </w:p>
    <w:p w:rsidR="00713906" w:rsidRDefault="001A4B04" w:rsidP="00713906">
      <w:pPr>
        <w:spacing w:after="0" w:line="240" w:lineRule="auto"/>
        <w:jc w:val="right"/>
        <w:rPr>
          <w:color w:val="404040"/>
        </w:rPr>
      </w:pPr>
      <w:r w:rsidRPr="00DE0605">
        <w:rPr>
          <w:b/>
          <w:noProof/>
        </w:rPr>
        <w:drawing>
          <wp:anchor distT="0" distB="0" distL="114300" distR="114300" simplePos="0" relativeHeight="251689984" behindDoc="1" locked="0" layoutInCell="1" allowOverlap="1">
            <wp:simplePos x="0" y="0"/>
            <wp:positionH relativeFrom="margin">
              <wp:align>left</wp:align>
            </wp:positionH>
            <wp:positionV relativeFrom="margin">
              <wp:posOffset>1706880</wp:posOffset>
            </wp:positionV>
            <wp:extent cx="1727835" cy="2491740"/>
            <wp:effectExtent l="0" t="0" r="5715" b="3810"/>
            <wp:wrapTight wrapText="bothSides">
              <wp:wrapPolygon edited="0">
                <wp:start x="0" y="0"/>
                <wp:lineTo x="0" y="21468"/>
                <wp:lineTo x="21433" y="21468"/>
                <wp:lineTo x="2143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7835"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51E">
        <w:rPr>
          <w:noProof/>
        </w:rPr>
        <w:drawing>
          <wp:anchor distT="0" distB="0" distL="114300" distR="114300" simplePos="0" relativeHeight="251688960" behindDoc="1" locked="0" layoutInCell="1" allowOverlap="1">
            <wp:simplePos x="0" y="0"/>
            <wp:positionH relativeFrom="margin">
              <wp:posOffset>2311824</wp:posOffset>
            </wp:positionH>
            <wp:positionV relativeFrom="paragraph">
              <wp:posOffset>147955</wp:posOffset>
            </wp:positionV>
            <wp:extent cx="4570700" cy="1219200"/>
            <wp:effectExtent l="0" t="0" r="1905" b="0"/>
            <wp:wrapTight wrapText="bothSides">
              <wp:wrapPolygon edited="0">
                <wp:start x="0" y="0"/>
                <wp:lineTo x="0" y="21263"/>
                <wp:lineTo x="21519" y="21263"/>
                <wp:lineTo x="21519"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l="45107" b="19160"/>
                    <a:stretch>
                      <a:fillRect/>
                    </a:stretch>
                  </pic:blipFill>
                  <pic:spPr bwMode="auto">
                    <a:xfrm>
                      <a:off x="0" y="0"/>
                      <a:ext cx="45707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E98" w:rsidRPr="00AB3686" w:rsidRDefault="00B00483" w:rsidP="00713906">
      <w:pPr>
        <w:spacing w:after="0" w:line="240" w:lineRule="auto"/>
        <w:jc w:val="right"/>
        <w:rPr>
          <w:rFonts w:ascii="Tahoma" w:eastAsia="Verdana" w:hAnsi="Tahoma" w:cs="Tahoma"/>
          <w:u w:val="single" w:color="000000"/>
        </w:rPr>
      </w:pPr>
      <w:r w:rsidRPr="00AB3686">
        <w:rPr>
          <w:rFonts w:ascii="Tahoma" w:eastAsia="Verdana" w:hAnsi="Tahoma" w:cs="Tahoma"/>
          <w:u w:val="single" w:color="000000"/>
        </w:rPr>
        <w:t xml:space="preserve">Extranet : </w:t>
      </w:r>
      <w:hyperlink r:id="rId34" w:history="1">
        <w:r w:rsidR="00A5112E" w:rsidRPr="00AB3686">
          <w:rPr>
            <w:rStyle w:val="Lienhypertexte"/>
            <w:rFonts w:ascii="Tahoma" w:eastAsia="Verdana" w:hAnsi="Tahoma" w:cs="Tahoma"/>
          </w:rPr>
          <w:t>www.amundi-ee.com</w:t>
        </w:r>
      </w:hyperlink>
    </w:p>
    <w:p w:rsidR="00A5112E" w:rsidRPr="00AB3686" w:rsidRDefault="00AB3686" w:rsidP="00713906">
      <w:pPr>
        <w:spacing w:after="0" w:line="240" w:lineRule="auto"/>
        <w:jc w:val="right"/>
        <w:rPr>
          <w:rFonts w:ascii="Tahoma" w:eastAsia="Verdana" w:hAnsi="Tahoma" w:cs="Tahoma"/>
          <w:u w:val="single" w:color="000000"/>
        </w:rPr>
      </w:pPr>
      <w:r w:rsidRPr="00AB3686">
        <w:rPr>
          <w:rFonts w:ascii="Tahoma" w:eastAsia="Verdana" w:hAnsi="Tahoma" w:cs="Tahoma"/>
          <w:u w:val="single" w:color="000000"/>
        </w:rPr>
        <w:t>Pour gérer l’épargne-retraite de votre PER Entreprises (article 83), vous disposez d’un espace internet dédié</w:t>
      </w:r>
    </w:p>
    <w:p w:rsidR="004C3153" w:rsidRDefault="004C3153" w:rsidP="00713906">
      <w:pPr>
        <w:spacing w:after="0" w:line="240" w:lineRule="auto"/>
        <w:jc w:val="right"/>
        <w:rPr>
          <w:rFonts w:ascii="Tahoma" w:eastAsia="Verdana" w:hAnsi="Tahoma" w:cs="Tahoma"/>
          <w:b/>
          <w:u w:val="single" w:color="000000"/>
        </w:rPr>
      </w:pPr>
    </w:p>
    <w:p w:rsidR="004C3153" w:rsidRDefault="004C3153" w:rsidP="00713906">
      <w:pPr>
        <w:spacing w:after="0" w:line="240" w:lineRule="auto"/>
        <w:jc w:val="right"/>
        <w:rPr>
          <w:rFonts w:ascii="Tahoma" w:eastAsia="Verdana" w:hAnsi="Tahoma" w:cs="Tahoma"/>
          <w:b/>
          <w:u w:val="single" w:color="000000"/>
        </w:rPr>
      </w:pPr>
    </w:p>
    <w:p w:rsidR="001A4B04" w:rsidRDefault="001A4B04" w:rsidP="00713906">
      <w:pPr>
        <w:spacing w:after="0" w:line="240" w:lineRule="auto"/>
        <w:jc w:val="right"/>
        <w:rPr>
          <w:rFonts w:ascii="Tahoma" w:eastAsia="Verdana" w:hAnsi="Tahoma" w:cs="Tahoma"/>
          <w:b/>
          <w:u w:val="single" w:color="000000"/>
        </w:rPr>
      </w:pPr>
    </w:p>
    <w:p w:rsidR="001B4116" w:rsidRPr="00C36D06" w:rsidRDefault="001B4116" w:rsidP="002D0735">
      <w:pPr>
        <w:pStyle w:val="Titre2"/>
      </w:pPr>
      <w:r w:rsidRPr="00C36D06">
        <w:t>Taux de cotisations ARRCO-AGIRC au 1er janvier 2018</w:t>
      </w:r>
    </w:p>
    <w:tbl>
      <w:tblPr>
        <w:tblpPr w:leftFromText="141" w:rightFromText="141" w:vertAnchor="text" w:horzAnchor="margin" w:tblpY="201"/>
        <w:tblOverlap w:val="never"/>
        <w:tblW w:w="4976" w:type="pct"/>
        <w:tblCellMar>
          <w:top w:w="15" w:type="dxa"/>
          <w:left w:w="15" w:type="dxa"/>
          <w:bottom w:w="15" w:type="dxa"/>
          <w:right w:w="15" w:type="dxa"/>
        </w:tblCellMar>
        <w:tblLook w:val="04A0" w:firstRow="1" w:lastRow="0" w:firstColumn="1" w:lastColumn="0" w:noHBand="0" w:noVBand="1"/>
      </w:tblPr>
      <w:tblGrid>
        <w:gridCol w:w="3544"/>
        <w:gridCol w:w="2154"/>
        <w:gridCol w:w="2464"/>
        <w:gridCol w:w="2254"/>
      </w:tblGrid>
      <w:tr w:rsidR="001A4B04" w:rsidTr="001A4B04">
        <w:trPr>
          <w:trHeight w:val="221"/>
          <w:tblHeader/>
        </w:trPr>
        <w:tc>
          <w:tcPr>
            <w:tcW w:w="1701" w:type="pct"/>
            <w:tcBorders>
              <w:bottom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21"/>
                <w:szCs w:val="21"/>
              </w:rPr>
              <w:t>ARRCO (non cadres)</w:t>
            </w:r>
          </w:p>
        </w:tc>
        <w:tc>
          <w:tcPr>
            <w:tcW w:w="1034" w:type="pct"/>
            <w:tcBorders>
              <w:bottom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21"/>
                <w:szCs w:val="21"/>
              </w:rPr>
              <w:t>Part salariale</w:t>
            </w:r>
          </w:p>
        </w:tc>
        <w:tc>
          <w:tcPr>
            <w:tcW w:w="1183" w:type="pct"/>
            <w:tcBorders>
              <w:bottom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21"/>
                <w:szCs w:val="21"/>
              </w:rPr>
              <w:t>Part patronale</w:t>
            </w:r>
          </w:p>
        </w:tc>
        <w:tc>
          <w:tcPr>
            <w:tcW w:w="1082" w:type="pct"/>
            <w:tcBorders>
              <w:bottom w:val="double" w:sz="4" w:space="0" w:color="auto"/>
            </w:tcBorders>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Arial"/>
                <w:b/>
                <w:color w:val="FFFFFF"/>
                <w:sz w:val="21"/>
                <w:szCs w:val="21"/>
              </w:rPr>
            </w:pPr>
            <w:r w:rsidRPr="00183EA9">
              <w:rPr>
                <w:rFonts w:ascii="Calibri Light" w:hAnsi="Calibri Light" w:cs="Arial"/>
                <w:b/>
                <w:color w:val="FFFFFF"/>
                <w:sz w:val="21"/>
                <w:szCs w:val="21"/>
              </w:rPr>
              <w:t>Taux global</w:t>
            </w:r>
          </w:p>
        </w:tc>
      </w:tr>
      <w:tr w:rsidR="001A4B04" w:rsidTr="001A4B04">
        <w:trPr>
          <w:trHeight w:val="194"/>
        </w:trPr>
        <w:tc>
          <w:tcPr>
            <w:tcW w:w="1701" w:type="pct"/>
            <w:tcBorders>
              <w:top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Retraite complémentaire T1</w:t>
            </w:r>
          </w:p>
        </w:tc>
        <w:tc>
          <w:tcPr>
            <w:tcW w:w="1034" w:type="pct"/>
            <w:tcBorders>
              <w:top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3,10 %</w:t>
            </w:r>
          </w:p>
        </w:tc>
        <w:tc>
          <w:tcPr>
            <w:tcW w:w="0" w:type="auto"/>
            <w:tcBorders>
              <w:top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4,65 %</w:t>
            </w:r>
          </w:p>
        </w:tc>
        <w:tc>
          <w:tcPr>
            <w:tcW w:w="1082" w:type="pct"/>
            <w:tcBorders>
              <w:top w:val="double" w:sz="4" w:space="0" w:color="auto"/>
            </w:tcBorders>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Arial"/>
                <w:b/>
                <w:color w:val="FFFFFF"/>
                <w:sz w:val="21"/>
                <w:szCs w:val="21"/>
              </w:rPr>
            </w:pPr>
            <w:r w:rsidRPr="00183EA9">
              <w:rPr>
                <w:rFonts w:ascii="Calibri Light" w:hAnsi="Calibri Light" w:cs="Arial"/>
                <w:b/>
                <w:color w:val="FFFFFF"/>
                <w:sz w:val="18"/>
                <w:szCs w:val="18"/>
              </w:rPr>
              <w:t>7,75 %</w:t>
            </w:r>
          </w:p>
        </w:tc>
      </w:tr>
      <w:tr w:rsidR="001A4B04" w:rsidTr="001A4B04">
        <w:trPr>
          <w:trHeight w:val="182"/>
        </w:trPr>
        <w:tc>
          <w:tcPr>
            <w:tcW w:w="1701"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Retraite complémentaire T2</w:t>
            </w:r>
          </w:p>
        </w:tc>
        <w:tc>
          <w:tcPr>
            <w:tcW w:w="1034"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8,10 %</w:t>
            </w:r>
          </w:p>
        </w:tc>
        <w:tc>
          <w:tcPr>
            <w:tcW w:w="0" w:type="auto"/>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12,15 %</w:t>
            </w:r>
          </w:p>
        </w:tc>
        <w:tc>
          <w:tcPr>
            <w:tcW w:w="1082" w:type="pct"/>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Arial"/>
                <w:b/>
                <w:color w:val="FFFFFF"/>
                <w:sz w:val="21"/>
                <w:szCs w:val="21"/>
              </w:rPr>
            </w:pPr>
            <w:r w:rsidRPr="00183EA9">
              <w:rPr>
                <w:rFonts w:ascii="Calibri Light" w:hAnsi="Calibri Light" w:cs="Arial"/>
                <w:b/>
                <w:color w:val="FFFFFF"/>
                <w:sz w:val="18"/>
                <w:szCs w:val="18"/>
              </w:rPr>
              <w:t>20,25 %</w:t>
            </w:r>
          </w:p>
        </w:tc>
      </w:tr>
      <w:tr w:rsidR="001A4B04" w:rsidTr="001A4B04">
        <w:trPr>
          <w:trHeight w:val="194"/>
        </w:trPr>
        <w:tc>
          <w:tcPr>
            <w:tcW w:w="1701"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AGFF T1</w:t>
            </w:r>
          </w:p>
        </w:tc>
        <w:tc>
          <w:tcPr>
            <w:tcW w:w="1034"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0,80 %</w:t>
            </w:r>
          </w:p>
        </w:tc>
        <w:tc>
          <w:tcPr>
            <w:tcW w:w="0" w:type="auto"/>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1,20 %</w:t>
            </w:r>
          </w:p>
        </w:tc>
        <w:tc>
          <w:tcPr>
            <w:tcW w:w="1082" w:type="pct"/>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Arial"/>
                <w:b/>
                <w:color w:val="FFFFFF"/>
                <w:sz w:val="21"/>
                <w:szCs w:val="21"/>
              </w:rPr>
            </w:pPr>
            <w:r w:rsidRPr="00183EA9">
              <w:rPr>
                <w:rFonts w:ascii="Calibri Light" w:hAnsi="Calibri Light" w:cs="Arial"/>
                <w:b/>
                <w:color w:val="FFFFFF"/>
                <w:sz w:val="18"/>
                <w:szCs w:val="18"/>
              </w:rPr>
              <w:t>2,00 %</w:t>
            </w:r>
          </w:p>
        </w:tc>
      </w:tr>
      <w:tr w:rsidR="001A4B04" w:rsidTr="001A4B04">
        <w:trPr>
          <w:trHeight w:val="194"/>
        </w:trPr>
        <w:tc>
          <w:tcPr>
            <w:tcW w:w="1701"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AGFF T2</w:t>
            </w:r>
          </w:p>
        </w:tc>
        <w:tc>
          <w:tcPr>
            <w:tcW w:w="1034"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0,90 %</w:t>
            </w:r>
          </w:p>
        </w:tc>
        <w:tc>
          <w:tcPr>
            <w:tcW w:w="0" w:type="auto"/>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1,30 %</w:t>
            </w:r>
          </w:p>
        </w:tc>
        <w:tc>
          <w:tcPr>
            <w:tcW w:w="1082" w:type="pct"/>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Arial"/>
                <w:b/>
                <w:color w:val="FFFFFF"/>
                <w:sz w:val="21"/>
                <w:szCs w:val="21"/>
              </w:rPr>
            </w:pPr>
            <w:r w:rsidRPr="00183EA9">
              <w:rPr>
                <w:rFonts w:ascii="Calibri Light" w:hAnsi="Calibri Light" w:cs="Arial"/>
                <w:b/>
                <w:color w:val="FFFFFF"/>
                <w:sz w:val="18"/>
                <w:szCs w:val="18"/>
              </w:rPr>
              <w:t>2,20 %</w:t>
            </w:r>
          </w:p>
        </w:tc>
      </w:tr>
    </w:tbl>
    <w:p w:rsidR="00942109" w:rsidRPr="005770AD" w:rsidRDefault="00942109" w:rsidP="001B4116">
      <w:pPr>
        <w:spacing w:before="0" w:after="0"/>
        <w:rPr>
          <w:vanish/>
        </w:rPr>
      </w:pPr>
    </w:p>
    <w:p w:rsidR="001B4116" w:rsidRDefault="001B4116" w:rsidP="001B4116">
      <w:pPr>
        <w:pStyle w:val="NormalWeb"/>
        <w:shd w:val="clear" w:color="auto" w:fill="9CC2E5"/>
        <w:spacing w:before="0" w:after="0"/>
        <w:jc w:val="right"/>
        <w:rPr>
          <w:rFonts w:ascii="Calibri" w:hAnsi="Calibri"/>
          <w:color w:val="303030"/>
          <w:spacing w:val="-6"/>
          <w:sz w:val="20"/>
          <w:szCs w:val="20"/>
        </w:rPr>
      </w:pPr>
      <w:r w:rsidRPr="005D171F">
        <w:rPr>
          <w:rFonts w:ascii="Calibri" w:hAnsi="Calibri"/>
          <w:color w:val="303030"/>
          <w:spacing w:val="-6"/>
          <w:sz w:val="20"/>
          <w:szCs w:val="20"/>
        </w:rPr>
        <w:t xml:space="preserve">La valeur du point Arrco est de </w:t>
      </w:r>
      <w:r w:rsidRPr="004D751E">
        <w:rPr>
          <w:rFonts w:ascii="Calibri" w:hAnsi="Calibri"/>
          <w:b/>
          <w:color w:val="303030"/>
          <w:spacing w:val="-6"/>
          <w:sz w:val="20"/>
          <w:szCs w:val="20"/>
        </w:rPr>
        <w:t>1,2513 euros</w:t>
      </w:r>
      <w:r w:rsidRPr="005D171F">
        <w:rPr>
          <w:rFonts w:ascii="Calibri" w:hAnsi="Calibri"/>
          <w:color w:val="303030"/>
          <w:spacing w:val="-6"/>
          <w:sz w:val="20"/>
          <w:szCs w:val="20"/>
        </w:rPr>
        <w:t>.</w:t>
      </w:r>
    </w:p>
    <w:tbl>
      <w:tblPr>
        <w:tblpPr w:leftFromText="141" w:rightFromText="141" w:vertAnchor="page" w:horzAnchor="margin" w:tblpY="10133"/>
        <w:tblW w:w="4997" w:type="pct"/>
        <w:tblCellMar>
          <w:top w:w="15" w:type="dxa"/>
          <w:left w:w="15" w:type="dxa"/>
          <w:bottom w:w="15" w:type="dxa"/>
          <w:right w:w="15" w:type="dxa"/>
        </w:tblCellMar>
        <w:tblLook w:val="04A0" w:firstRow="1" w:lastRow="0" w:firstColumn="1" w:lastColumn="0" w:noHBand="0" w:noVBand="1"/>
      </w:tblPr>
      <w:tblGrid>
        <w:gridCol w:w="3828"/>
        <w:gridCol w:w="1701"/>
        <w:gridCol w:w="2550"/>
        <w:gridCol w:w="2381"/>
      </w:tblGrid>
      <w:tr w:rsidR="001A4B04" w:rsidRPr="00183EA9" w:rsidTr="001A4B04">
        <w:trPr>
          <w:tblHeader/>
        </w:trPr>
        <w:tc>
          <w:tcPr>
            <w:tcW w:w="1830" w:type="pct"/>
            <w:tcBorders>
              <w:bottom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21"/>
                <w:szCs w:val="21"/>
              </w:rPr>
              <w:t>AGIRC (cadres)</w:t>
            </w:r>
          </w:p>
        </w:tc>
        <w:tc>
          <w:tcPr>
            <w:tcW w:w="813" w:type="pct"/>
            <w:tcBorders>
              <w:bottom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21"/>
                <w:szCs w:val="21"/>
              </w:rPr>
              <w:t>Part salariale</w:t>
            </w:r>
          </w:p>
        </w:tc>
        <w:tc>
          <w:tcPr>
            <w:tcW w:w="1219" w:type="pct"/>
            <w:tcBorders>
              <w:bottom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21"/>
                <w:szCs w:val="21"/>
              </w:rPr>
              <w:t>Part patronale</w:t>
            </w:r>
          </w:p>
        </w:tc>
        <w:tc>
          <w:tcPr>
            <w:tcW w:w="1138" w:type="pct"/>
            <w:tcBorders>
              <w:bottom w:val="double" w:sz="4" w:space="0" w:color="auto"/>
            </w:tcBorders>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FFFFFF"/>
                <w:sz w:val="21"/>
                <w:szCs w:val="21"/>
              </w:rPr>
            </w:pPr>
            <w:r w:rsidRPr="00183EA9">
              <w:rPr>
                <w:rFonts w:ascii="Calibri Light" w:hAnsi="Calibri Light" w:cs="Helvetica"/>
                <w:b/>
                <w:color w:val="FFFFFF"/>
                <w:sz w:val="21"/>
                <w:szCs w:val="21"/>
              </w:rPr>
              <w:t>Taux global</w:t>
            </w:r>
          </w:p>
        </w:tc>
      </w:tr>
      <w:tr w:rsidR="001A4B04" w:rsidRPr="00183EA9" w:rsidTr="001A4B04">
        <w:tc>
          <w:tcPr>
            <w:tcW w:w="1830" w:type="pct"/>
            <w:tcBorders>
              <w:top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Retraite complémentaire TA</w:t>
            </w:r>
          </w:p>
        </w:tc>
        <w:tc>
          <w:tcPr>
            <w:tcW w:w="813" w:type="pct"/>
            <w:tcBorders>
              <w:top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3,10 %</w:t>
            </w:r>
          </w:p>
        </w:tc>
        <w:tc>
          <w:tcPr>
            <w:tcW w:w="1219" w:type="pct"/>
            <w:tcBorders>
              <w:top w:val="double" w:sz="4" w:space="0" w:color="auto"/>
            </w:tcBorders>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4,65 %</w:t>
            </w:r>
          </w:p>
        </w:tc>
        <w:tc>
          <w:tcPr>
            <w:tcW w:w="1138" w:type="pct"/>
            <w:tcBorders>
              <w:top w:val="double" w:sz="4" w:space="0" w:color="auto"/>
            </w:tcBorders>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FFFFFF"/>
                <w:sz w:val="21"/>
                <w:szCs w:val="21"/>
              </w:rPr>
            </w:pPr>
            <w:r w:rsidRPr="00183EA9">
              <w:rPr>
                <w:rFonts w:ascii="Calibri Light" w:hAnsi="Calibri Light" w:cs="Helvetica"/>
                <w:b/>
                <w:color w:val="FFFFFF"/>
                <w:sz w:val="18"/>
                <w:szCs w:val="18"/>
              </w:rPr>
              <w:t>7,75 %</w:t>
            </w:r>
          </w:p>
        </w:tc>
      </w:tr>
      <w:tr w:rsidR="001A4B04" w:rsidRPr="00183EA9" w:rsidTr="001A4B04">
        <w:tc>
          <w:tcPr>
            <w:tcW w:w="1830"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Retraite complémentaire TB</w:t>
            </w:r>
          </w:p>
        </w:tc>
        <w:tc>
          <w:tcPr>
            <w:tcW w:w="813"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7,80 %</w:t>
            </w:r>
          </w:p>
        </w:tc>
        <w:tc>
          <w:tcPr>
            <w:tcW w:w="1219"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12,75 %</w:t>
            </w:r>
          </w:p>
        </w:tc>
        <w:tc>
          <w:tcPr>
            <w:tcW w:w="1138" w:type="pct"/>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FFFFFF"/>
                <w:sz w:val="21"/>
                <w:szCs w:val="21"/>
              </w:rPr>
            </w:pPr>
            <w:r w:rsidRPr="00183EA9">
              <w:rPr>
                <w:rFonts w:ascii="Calibri Light" w:hAnsi="Calibri Light" w:cs="Helvetica"/>
                <w:b/>
                <w:color w:val="FFFFFF"/>
                <w:sz w:val="18"/>
                <w:szCs w:val="18"/>
              </w:rPr>
              <w:t>20,55 %</w:t>
            </w:r>
          </w:p>
        </w:tc>
      </w:tr>
      <w:tr w:rsidR="001A4B04" w:rsidRPr="00183EA9" w:rsidTr="001A4B04">
        <w:tc>
          <w:tcPr>
            <w:tcW w:w="1830"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Retraite complémentaire TC</w:t>
            </w:r>
          </w:p>
        </w:tc>
        <w:tc>
          <w:tcPr>
            <w:tcW w:w="813"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7,80 %</w:t>
            </w:r>
          </w:p>
        </w:tc>
        <w:tc>
          <w:tcPr>
            <w:tcW w:w="1219"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12,75 %</w:t>
            </w:r>
          </w:p>
        </w:tc>
        <w:tc>
          <w:tcPr>
            <w:tcW w:w="1138" w:type="pct"/>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FFFFFF"/>
                <w:sz w:val="21"/>
                <w:szCs w:val="21"/>
              </w:rPr>
            </w:pPr>
            <w:r w:rsidRPr="00183EA9">
              <w:rPr>
                <w:rFonts w:ascii="Calibri Light" w:hAnsi="Calibri Light" w:cs="Helvetica"/>
                <w:b/>
                <w:color w:val="FFFFFF"/>
                <w:sz w:val="18"/>
                <w:szCs w:val="18"/>
              </w:rPr>
              <w:t>20,55 %</w:t>
            </w:r>
          </w:p>
        </w:tc>
      </w:tr>
      <w:tr w:rsidR="001A4B04" w:rsidRPr="00183EA9" w:rsidTr="001A4B04">
        <w:tc>
          <w:tcPr>
            <w:tcW w:w="1830"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AGFF TA</w:t>
            </w:r>
          </w:p>
        </w:tc>
        <w:tc>
          <w:tcPr>
            <w:tcW w:w="813"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0,80 %</w:t>
            </w:r>
          </w:p>
        </w:tc>
        <w:tc>
          <w:tcPr>
            <w:tcW w:w="1219"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1,20 %</w:t>
            </w:r>
          </w:p>
        </w:tc>
        <w:tc>
          <w:tcPr>
            <w:tcW w:w="1138" w:type="pct"/>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FFFFFF"/>
                <w:sz w:val="21"/>
                <w:szCs w:val="21"/>
              </w:rPr>
            </w:pPr>
            <w:r w:rsidRPr="00183EA9">
              <w:rPr>
                <w:rFonts w:ascii="Calibri Light" w:hAnsi="Calibri Light" w:cs="Helvetica"/>
                <w:b/>
                <w:color w:val="FFFFFF"/>
                <w:sz w:val="18"/>
                <w:szCs w:val="18"/>
              </w:rPr>
              <w:t>2,00 %</w:t>
            </w:r>
          </w:p>
        </w:tc>
      </w:tr>
      <w:tr w:rsidR="001A4B04" w:rsidRPr="00183EA9" w:rsidTr="001A4B04">
        <w:trPr>
          <w:trHeight w:val="89"/>
        </w:trPr>
        <w:tc>
          <w:tcPr>
            <w:tcW w:w="1830"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AGFF TB</w:t>
            </w:r>
          </w:p>
        </w:tc>
        <w:tc>
          <w:tcPr>
            <w:tcW w:w="813"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0,90 %</w:t>
            </w:r>
          </w:p>
        </w:tc>
        <w:tc>
          <w:tcPr>
            <w:tcW w:w="1219"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1,30 %</w:t>
            </w:r>
          </w:p>
        </w:tc>
        <w:tc>
          <w:tcPr>
            <w:tcW w:w="1138" w:type="pct"/>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FFFFFF"/>
                <w:sz w:val="21"/>
                <w:szCs w:val="21"/>
              </w:rPr>
            </w:pPr>
            <w:r w:rsidRPr="00183EA9">
              <w:rPr>
                <w:rFonts w:ascii="Calibri Light" w:hAnsi="Calibri Light" w:cs="Helvetica"/>
                <w:b/>
                <w:color w:val="FFFFFF"/>
                <w:sz w:val="18"/>
                <w:szCs w:val="18"/>
              </w:rPr>
              <w:t>2,20 %</w:t>
            </w:r>
          </w:p>
        </w:tc>
      </w:tr>
      <w:tr w:rsidR="001A4B04" w:rsidRPr="00183EA9" w:rsidTr="001A4B04">
        <w:tc>
          <w:tcPr>
            <w:tcW w:w="1830"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AGFF TC</w:t>
            </w:r>
          </w:p>
        </w:tc>
        <w:tc>
          <w:tcPr>
            <w:tcW w:w="813"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0,90 %</w:t>
            </w:r>
          </w:p>
        </w:tc>
        <w:tc>
          <w:tcPr>
            <w:tcW w:w="1219" w:type="pct"/>
            <w:shd w:val="clear" w:color="auto" w:fill="auto"/>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000066"/>
                <w:sz w:val="21"/>
                <w:szCs w:val="21"/>
              </w:rPr>
            </w:pPr>
            <w:r w:rsidRPr="00183EA9">
              <w:rPr>
                <w:rFonts w:ascii="Calibri Light" w:hAnsi="Calibri Light" w:cs="Helvetica"/>
                <w:b/>
                <w:color w:val="000066"/>
                <w:sz w:val="18"/>
                <w:szCs w:val="18"/>
              </w:rPr>
              <w:t>1,30 %</w:t>
            </w:r>
          </w:p>
        </w:tc>
        <w:tc>
          <w:tcPr>
            <w:tcW w:w="1138" w:type="pct"/>
            <w:shd w:val="clear" w:color="auto" w:fill="003399"/>
            <w:tcMar>
              <w:top w:w="0" w:type="dxa"/>
              <w:left w:w="0" w:type="dxa"/>
              <w:bottom w:w="0" w:type="dxa"/>
              <w:right w:w="0" w:type="dxa"/>
            </w:tcMar>
            <w:vAlign w:val="center"/>
            <w:hideMark/>
          </w:tcPr>
          <w:p w:rsidR="001A4B04" w:rsidRPr="00183EA9" w:rsidRDefault="001A4B04" w:rsidP="001A4B04">
            <w:pPr>
              <w:spacing w:before="0" w:after="0" w:line="240" w:lineRule="auto"/>
              <w:jc w:val="center"/>
              <w:rPr>
                <w:rFonts w:ascii="Calibri Light" w:hAnsi="Calibri Light" w:cs="Helvetica"/>
                <w:b/>
                <w:color w:val="FFFFFF"/>
                <w:sz w:val="21"/>
                <w:szCs w:val="21"/>
              </w:rPr>
            </w:pPr>
            <w:r w:rsidRPr="00183EA9">
              <w:rPr>
                <w:rFonts w:ascii="Calibri Light" w:hAnsi="Calibri Light" w:cs="Helvetica"/>
                <w:b/>
                <w:color w:val="FFFFFF"/>
                <w:sz w:val="18"/>
                <w:szCs w:val="18"/>
              </w:rPr>
              <w:t>2,20 %</w:t>
            </w:r>
          </w:p>
        </w:tc>
      </w:tr>
    </w:tbl>
    <w:p w:rsidR="00942109" w:rsidRPr="00121C9C" w:rsidRDefault="001B4116" w:rsidP="00121C9C">
      <w:pPr>
        <w:pStyle w:val="NormalWeb"/>
        <w:shd w:val="clear" w:color="auto" w:fill="9CC2E5"/>
        <w:spacing w:before="0" w:after="0"/>
        <w:jc w:val="right"/>
        <w:rPr>
          <w:rFonts w:ascii="Calibri" w:hAnsi="Calibri"/>
          <w:b/>
          <w:bCs/>
          <w:color w:val="303030"/>
          <w:spacing w:val="-6"/>
          <w:sz w:val="20"/>
          <w:szCs w:val="20"/>
        </w:rPr>
      </w:pPr>
      <w:r w:rsidRPr="005D171F">
        <w:rPr>
          <w:rFonts w:ascii="Calibri" w:hAnsi="Calibri"/>
          <w:color w:val="303030"/>
          <w:spacing w:val="-6"/>
          <w:sz w:val="20"/>
          <w:szCs w:val="20"/>
        </w:rPr>
        <w:t>La valeur du point Agirc s'établit à </w:t>
      </w:r>
      <w:r w:rsidRPr="005D171F">
        <w:rPr>
          <w:rStyle w:val="lev"/>
          <w:rFonts w:ascii="Calibri" w:hAnsi="Calibri"/>
          <w:color w:val="303030"/>
          <w:spacing w:val="-6"/>
          <w:sz w:val="20"/>
          <w:szCs w:val="20"/>
        </w:rPr>
        <w:t>0,4352 euro.</w:t>
      </w:r>
    </w:p>
    <w:p w:rsidR="00713906" w:rsidRPr="00DC5E4B" w:rsidRDefault="00713906" w:rsidP="002D0735">
      <w:pPr>
        <w:pStyle w:val="Titre2"/>
      </w:pPr>
      <w:r w:rsidRPr="00DC5E4B">
        <w:t>Je souhaite racheter des trimestres et des points de retraite</w:t>
      </w:r>
    </w:p>
    <w:p w:rsidR="005045C8" w:rsidRDefault="00713906" w:rsidP="005045C8">
      <w:pPr>
        <w:pStyle w:val="NormalWeb"/>
        <w:spacing w:before="0" w:after="150"/>
        <w:rPr>
          <w:rFonts w:ascii="Arial" w:hAnsi="Arial" w:cs="Arial"/>
          <w:color w:val="252525"/>
          <w:sz w:val="20"/>
          <w:szCs w:val="20"/>
        </w:rPr>
      </w:pPr>
      <w:r w:rsidRPr="00596332">
        <w:rPr>
          <w:rFonts w:ascii="Arial" w:hAnsi="Arial" w:cs="Arial"/>
          <w:color w:val="252525"/>
          <w:sz w:val="20"/>
          <w:szCs w:val="20"/>
        </w:rPr>
        <w:t xml:space="preserve">Dans la plupart des régimes de retraite, vous pouvez racheter des trimestres pour les années indiquées comme incomplètes. Ce rachat est, dans tous les cas, limité à 12 trimestres. </w:t>
      </w:r>
    </w:p>
    <w:p w:rsidR="005045C8" w:rsidRDefault="005045C8" w:rsidP="00713906">
      <w:pPr>
        <w:pStyle w:val="NormalWeb"/>
        <w:spacing w:before="0" w:after="150"/>
        <w:rPr>
          <w:rFonts w:ascii="Arial" w:hAnsi="Arial" w:cs="Arial"/>
          <w:color w:val="252525"/>
          <w:sz w:val="20"/>
          <w:szCs w:val="20"/>
        </w:rPr>
      </w:pPr>
      <w:r w:rsidRPr="005045C8">
        <w:rPr>
          <w:rStyle w:val="normaltextrun"/>
          <w:rFonts w:ascii="Tahoma" w:hAnsi="Tahoma" w:cs="Tahoma"/>
          <w:color w:val="404040" w:themeColor="text1" w:themeTint="BF"/>
          <w:position w:val="3"/>
          <w:sz w:val="20"/>
          <w:szCs w:val="20"/>
        </w:rPr>
        <w:t>Dans l’accord GPEC, une aide d’un montant maximum de 2500 € est versée par l’entreprise pour le rachat de ces trimestres. Les sommes versées ont le caractère de salaire et sont soumises à charges sociales.</w:t>
      </w:r>
      <w:r w:rsidRPr="005045C8">
        <w:rPr>
          <w:rStyle w:val="eop"/>
          <w:rFonts w:ascii="Tahoma" w:hAnsi="Tahoma" w:cs="Tahoma"/>
          <w:color w:val="404040" w:themeColor="text1" w:themeTint="BF"/>
          <w:sz w:val="20"/>
          <w:szCs w:val="20"/>
        </w:rPr>
        <w:t>​</w:t>
      </w:r>
    </w:p>
    <w:p w:rsidR="00713906" w:rsidRDefault="00713906" w:rsidP="00713906">
      <w:pPr>
        <w:pStyle w:val="NormalWeb"/>
        <w:spacing w:before="0" w:after="150"/>
        <w:rPr>
          <w:rFonts w:ascii="Arial" w:hAnsi="Arial" w:cs="Arial"/>
          <w:sz w:val="20"/>
        </w:rPr>
      </w:pPr>
      <w:r w:rsidRPr="00596332">
        <w:rPr>
          <w:rFonts w:ascii="Arial" w:hAnsi="Arial" w:cs="Arial"/>
          <w:color w:val="252525"/>
          <w:sz w:val="20"/>
          <w:szCs w:val="20"/>
        </w:rPr>
        <w:t xml:space="preserve">Si vous avez </w:t>
      </w:r>
      <w:hyperlink r:id="rId35" w:tooltip="Rachat d'années d'études" w:history="1">
        <w:r w:rsidRPr="00596332">
          <w:rPr>
            <w:rStyle w:val="Lienhypertexte"/>
            <w:rFonts w:ascii="Arial" w:hAnsi="Arial" w:cs="Arial"/>
            <w:color w:val="008294"/>
            <w:sz w:val="20"/>
            <w:szCs w:val="20"/>
          </w:rPr>
          <w:t>racheté des années d’études supérieures, </w:t>
        </w:r>
      </w:hyperlink>
      <w:r w:rsidRPr="00596332">
        <w:rPr>
          <w:rFonts w:ascii="Arial" w:hAnsi="Arial" w:cs="Arial"/>
          <w:color w:val="252525"/>
          <w:sz w:val="20"/>
          <w:szCs w:val="20"/>
        </w:rPr>
        <w:t>elles sont prises en compte dans cette limite.</w:t>
      </w:r>
      <w:r w:rsidRPr="00596332">
        <w:rPr>
          <w:rFonts w:ascii="Arial" w:hAnsi="Arial" w:cs="Arial"/>
          <w:sz w:val="20"/>
          <w:szCs w:val="20"/>
        </w:rPr>
        <w:t xml:space="preserve"> Racheter des trimestres de retraite permet de bénéficier d'une déduction fiscale très</w:t>
      </w:r>
      <w:r w:rsidRPr="00596332">
        <w:rPr>
          <w:rFonts w:ascii="Arial" w:hAnsi="Arial" w:cs="Arial"/>
        </w:rPr>
        <w:t xml:space="preserve"> </w:t>
      </w:r>
      <w:r w:rsidRPr="00596332">
        <w:rPr>
          <w:rFonts w:ascii="Arial" w:hAnsi="Arial" w:cs="Arial"/>
          <w:sz w:val="20"/>
        </w:rPr>
        <w:t>intéressante</w:t>
      </w:r>
      <w:r>
        <w:rPr>
          <w:rFonts w:ascii="Arial" w:hAnsi="Arial" w:cs="Arial"/>
          <w:sz w:val="20"/>
        </w:rPr>
        <w:t>.</w:t>
      </w:r>
    </w:p>
    <w:p w:rsidR="005D3A6D" w:rsidRPr="004C3153" w:rsidRDefault="00DF603B" w:rsidP="004C3153">
      <w:pPr>
        <w:rPr>
          <w:rFonts w:ascii="Arial" w:hAnsi="Arial" w:cs="Arial"/>
          <w:b/>
          <w:bCs/>
          <w:color w:val="3B3A3A"/>
        </w:rPr>
      </w:pPr>
      <w:r w:rsidRPr="00DF603B">
        <w:rPr>
          <w:rFonts w:ascii="Arial" w:hAnsi="Arial" w:cs="Arial"/>
        </w:rPr>
        <w:t>Le montant sera alors imputable sur votre revenu global. Si votre revenu global est inférieur au montant de vos rachats de cotisations, le solde sera reportable sur votre revenu global des années suivantes jusqu'à la sixième année inclusivement</w:t>
      </w:r>
      <w:r>
        <w:rPr>
          <w:rFonts w:ascii="Arial" w:hAnsi="Arial" w:cs="Arial"/>
        </w:rPr>
        <w:t> </w:t>
      </w:r>
      <w:r>
        <w:rPr>
          <w:rFonts w:ascii="Arial" w:hAnsi="Arial" w:cs="Arial"/>
          <w:b/>
          <w:bCs/>
          <w:color w:val="3B3A3A"/>
        </w:rPr>
        <w:t xml:space="preserve">, </w:t>
      </w:r>
      <w:r w:rsidRPr="00DF603B">
        <w:rPr>
          <w:rFonts w:ascii="Arial" w:hAnsi="Arial" w:cs="Arial"/>
          <w:b/>
          <w:bCs/>
          <w:color w:val="3B3A3A"/>
        </w:rPr>
        <w:t>Déduction, réduction ou crédit d’impôt</w:t>
      </w:r>
      <w:r>
        <w:rPr>
          <w:rFonts w:ascii="Arial" w:hAnsi="Arial" w:cs="Arial"/>
          <w:b/>
          <w:bCs/>
          <w:color w:val="3B3A3A"/>
        </w:rPr>
        <w:t> ,T</w:t>
      </w:r>
      <w:r w:rsidRPr="00DF603B">
        <w:rPr>
          <w:rFonts w:ascii="Arial" w:hAnsi="Arial" w:cs="Arial"/>
          <w:b/>
          <w:bCs/>
          <w:color w:val="3B3A3A"/>
        </w:rPr>
        <w:t>out ce qui diminue la facture.</w:t>
      </w:r>
    </w:p>
    <w:p w:rsidR="00A5112E" w:rsidRDefault="00A5112E" w:rsidP="00A5112E">
      <w:pPr>
        <w:pStyle w:val="Titre2"/>
        <w:rPr>
          <w:rFonts w:eastAsia="Verdana"/>
          <w:u w:color="000000"/>
        </w:rPr>
      </w:pPr>
      <w:bookmarkStart w:id="36" w:name="_Toc6241701"/>
      <w:r>
        <w:rPr>
          <w:rFonts w:eastAsia="Verdana"/>
          <w:u w:color="000000"/>
        </w:rPr>
        <w:lastRenderedPageBreak/>
        <w:t>Mise à la retraite</w:t>
      </w:r>
      <w:bookmarkEnd w:id="36"/>
    </w:p>
    <w:p w:rsidR="00A5112E" w:rsidRPr="00BE26DB" w:rsidRDefault="00A5112E" w:rsidP="00A5112E">
      <w:pPr>
        <w:widowControl w:val="0"/>
        <w:autoSpaceDE w:val="0"/>
        <w:autoSpaceDN w:val="0"/>
        <w:adjustRightInd w:val="0"/>
        <w:spacing w:before="0" w:after="0" w:line="240" w:lineRule="auto"/>
        <w:rPr>
          <w:rFonts w:ascii="Arial" w:hAnsi="Arial" w:cs="Arial"/>
        </w:rPr>
      </w:pPr>
      <w:r w:rsidRPr="00BE26DB">
        <w:rPr>
          <w:rFonts w:ascii="Arial" w:hAnsi="Arial" w:cs="Arial"/>
        </w:rPr>
        <w:t>Indemnité de départ à la retraite  </w:t>
      </w:r>
    </w:p>
    <w:p w:rsidR="00A5112E" w:rsidRPr="00BE26DB" w:rsidRDefault="00A5112E" w:rsidP="00A5112E">
      <w:pPr>
        <w:widowControl w:val="0"/>
        <w:autoSpaceDE w:val="0"/>
        <w:autoSpaceDN w:val="0"/>
        <w:adjustRightInd w:val="0"/>
        <w:spacing w:before="0" w:after="0" w:line="240" w:lineRule="auto"/>
        <w:rPr>
          <w:rFonts w:ascii="Arial" w:hAnsi="Arial" w:cs="Arial"/>
        </w:rPr>
      </w:pPr>
      <w:r w:rsidRPr="00BE26DB">
        <w:rPr>
          <w:rFonts w:ascii="Arial" w:hAnsi="Arial" w:cs="Arial"/>
        </w:rPr>
        <w:t> </w:t>
      </w:r>
    </w:p>
    <w:p w:rsidR="00A5112E" w:rsidRPr="00BE26DB" w:rsidRDefault="00A5112E" w:rsidP="00A5112E">
      <w:pPr>
        <w:widowControl w:val="0"/>
        <w:autoSpaceDE w:val="0"/>
        <w:autoSpaceDN w:val="0"/>
        <w:adjustRightInd w:val="0"/>
        <w:spacing w:before="0" w:after="0" w:line="240" w:lineRule="auto"/>
        <w:rPr>
          <w:rFonts w:ascii="Arial" w:hAnsi="Arial" w:cs="Arial"/>
        </w:rPr>
      </w:pPr>
      <w:r w:rsidRPr="00BE26DB">
        <w:rPr>
          <w:rFonts w:ascii="Arial" w:hAnsi="Arial" w:cs="Arial"/>
        </w:rPr>
        <w:t>Le départ volontaire à la retraite ouvre droit pour le salarié à une indemnité de départ à la retraite, qui ne sera pas inférieure au barème ci-après :  </w:t>
      </w:r>
    </w:p>
    <w:p w:rsidR="00FA37E5" w:rsidRDefault="00FA37E5" w:rsidP="00A5112E">
      <w:pPr>
        <w:widowControl w:val="0"/>
        <w:autoSpaceDE w:val="0"/>
        <w:autoSpaceDN w:val="0"/>
        <w:adjustRightInd w:val="0"/>
        <w:spacing w:before="0" w:after="0" w:line="240" w:lineRule="auto"/>
        <w:rPr>
          <w:rFonts w:ascii="Tahoma" w:hAnsi="Tahoma" w:cs="Tahoma"/>
        </w:rPr>
      </w:pPr>
    </w:p>
    <w:tbl>
      <w:tblPr>
        <w:tblStyle w:val="Calendrier4"/>
        <w:tblpPr w:leftFromText="141" w:rightFromText="141" w:vertAnchor="text" w:tblpY="-60"/>
        <w:tblW w:w="0" w:type="auto"/>
        <w:tblLook w:val="04A0" w:firstRow="1" w:lastRow="0" w:firstColumn="1" w:lastColumn="0" w:noHBand="0" w:noVBand="1"/>
      </w:tblPr>
      <w:tblGrid>
        <w:gridCol w:w="3399"/>
        <w:gridCol w:w="3399"/>
        <w:gridCol w:w="3399"/>
      </w:tblGrid>
      <w:tr w:rsidR="00FA37E5" w:rsidTr="00897842">
        <w:trPr>
          <w:cnfStyle w:val="100000000000" w:firstRow="1" w:lastRow="0" w:firstColumn="0" w:lastColumn="0" w:oddVBand="0" w:evenVBand="0" w:oddHBand="0" w:evenHBand="0" w:firstRowFirstColumn="0" w:firstRowLastColumn="0" w:lastRowFirstColumn="0" w:lastRowLastColumn="0"/>
          <w:trHeight w:val="53"/>
        </w:trPr>
        <w:tc>
          <w:tcPr>
            <w:cnfStyle w:val="001000000100" w:firstRow="0" w:lastRow="0" w:firstColumn="1" w:lastColumn="0" w:oddVBand="0" w:evenVBand="0" w:oddHBand="0" w:evenHBand="0" w:firstRowFirstColumn="1" w:firstRowLastColumn="0" w:lastRowFirstColumn="0" w:lastRowLastColumn="0"/>
            <w:tcW w:w="3399" w:type="dxa"/>
          </w:tcPr>
          <w:p w:rsidR="00FA37E5" w:rsidRDefault="00FA37E5" w:rsidP="00FA37E5"/>
        </w:tc>
        <w:tc>
          <w:tcPr>
            <w:tcW w:w="3399" w:type="dxa"/>
          </w:tcPr>
          <w:p w:rsidR="00FA37E5" w:rsidRDefault="00FA37E5" w:rsidP="00FA37E5">
            <w:pPr>
              <w:cnfStyle w:val="100000000000" w:firstRow="1" w:lastRow="0" w:firstColumn="0" w:lastColumn="0" w:oddVBand="0" w:evenVBand="0" w:oddHBand="0" w:evenHBand="0" w:firstRowFirstColumn="0" w:firstRowLastColumn="0" w:lastRowFirstColumn="0" w:lastRowLastColumn="0"/>
            </w:pPr>
          </w:p>
        </w:tc>
        <w:tc>
          <w:tcPr>
            <w:tcW w:w="3399" w:type="dxa"/>
          </w:tcPr>
          <w:p w:rsidR="00FA37E5" w:rsidRDefault="00FA37E5" w:rsidP="00FA37E5">
            <w:pPr>
              <w:cnfStyle w:val="100000000000" w:firstRow="1" w:lastRow="0" w:firstColumn="0" w:lastColumn="0" w:oddVBand="0" w:evenVBand="0" w:oddHBand="0" w:evenHBand="0" w:firstRowFirstColumn="0" w:firstRowLastColumn="0" w:lastRowFirstColumn="0" w:lastRowLastColumn="0"/>
            </w:pPr>
          </w:p>
        </w:tc>
      </w:tr>
      <w:tr w:rsidR="00FA37E5" w:rsidTr="00897842">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3399" w:type="dxa"/>
            <w:vMerge w:val="restart"/>
            <w:textDirection w:val="btLr"/>
          </w:tcPr>
          <w:p w:rsidR="00FA37E5" w:rsidRDefault="00FA37E5" w:rsidP="00FA37E5">
            <w:r>
              <w:t xml:space="preserve">Retraite </w:t>
            </w:r>
          </w:p>
        </w:tc>
        <w:tc>
          <w:tcPr>
            <w:tcW w:w="3399" w:type="dxa"/>
          </w:tcPr>
          <w:p w:rsidR="00FA37E5" w:rsidRDefault="00FA37E5" w:rsidP="00FA37E5">
            <w:pPr>
              <w:cnfStyle w:val="000000100000" w:firstRow="0" w:lastRow="0" w:firstColumn="0" w:lastColumn="0" w:oddVBand="0" w:evenVBand="0" w:oddHBand="1" w:evenHBand="0" w:firstRowFirstColumn="0" w:firstRowLastColumn="0" w:lastRowFirstColumn="0" w:lastRowLastColumn="0"/>
            </w:pPr>
            <w:r>
              <w:t>Après 2 ans</w:t>
            </w:r>
          </w:p>
        </w:tc>
        <w:tc>
          <w:tcPr>
            <w:tcW w:w="3399" w:type="dxa"/>
          </w:tcPr>
          <w:p w:rsidR="00FA37E5" w:rsidRDefault="00FA37E5" w:rsidP="00FA37E5">
            <w:pPr>
              <w:cnfStyle w:val="000000100000" w:firstRow="0" w:lastRow="0" w:firstColumn="0" w:lastColumn="0" w:oddVBand="0" w:evenVBand="0" w:oddHBand="1" w:evenHBand="0" w:firstRowFirstColumn="0" w:firstRowLastColumn="0" w:lastRowFirstColumn="0" w:lastRowLastColumn="0"/>
            </w:pPr>
            <w:r>
              <w:t>Après 5 ans</w:t>
            </w:r>
          </w:p>
        </w:tc>
      </w:tr>
      <w:tr w:rsidR="00FA37E5" w:rsidTr="00897842">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9" w:type="dxa"/>
            <w:vMerge/>
          </w:tcPr>
          <w:p w:rsidR="00FA37E5" w:rsidRDefault="00FA37E5" w:rsidP="00FA37E5"/>
        </w:tc>
        <w:tc>
          <w:tcPr>
            <w:tcW w:w="3399" w:type="dxa"/>
          </w:tcPr>
          <w:p w:rsidR="00FA37E5" w:rsidRDefault="00FA37E5" w:rsidP="00FA37E5">
            <w:pPr>
              <w:cnfStyle w:val="000000010000" w:firstRow="0" w:lastRow="0" w:firstColumn="0" w:lastColumn="0" w:oddVBand="0" w:evenVBand="0" w:oddHBand="0" w:evenHBand="1" w:firstRowFirstColumn="0" w:firstRowLastColumn="0" w:lastRowFirstColumn="0" w:lastRowLastColumn="0"/>
            </w:pPr>
            <w:r>
              <w:t>0.5 mois</w:t>
            </w:r>
          </w:p>
        </w:tc>
        <w:tc>
          <w:tcPr>
            <w:tcW w:w="3399" w:type="dxa"/>
          </w:tcPr>
          <w:p w:rsidR="00FA37E5" w:rsidRDefault="00FA37E5" w:rsidP="00FA37E5">
            <w:pPr>
              <w:cnfStyle w:val="000000010000" w:firstRow="0" w:lastRow="0" w:firstColumn="0" w:lastColumn="0" w:oddVBand="0" w:evenVBand="0" w:oddHBand="0" w:evenHBand="1" w:firstRowFirstColumn="0" w:firstRowLastColumn="0" w:lastRowFirstColumn="0" w:lastRowLastColumn="0"/>
            </w:pPr>
            <w:r>
              <w:t>1mois</w:t>
            </w:r>
          </w:p>
        </w:tc>
      </w:tr>
      <w:tr w:rsidR="00FA37E5" w:rsidTr="00897842">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3399" w:type="dxa"/>
            <w:vMerge/>
          </w:tcPr>
          <w:p w:rsidR="00FA37E5" w:rsidRDefault="00FA37E5" w:rsidP="00FA37E5"/>
        </w:tc>
        <w:tc>
          <w:tcPr>
            <w:tcW w:w="3399" w:type="dxa"/>
          </w:tcPr>
          <w:p w:rsidR="00FA37E5" w:rsidRDefault="00FA37E5" w:rsidP="00FA37E5">
            <w:pPr>
              <w:cnfStyle w:val="000000100000" w:firstRow="0" w:lastRow="0" w:firstColumn="0" w:lastColumn="0" w:oddVBand="0" w:evenVBand="0" w:oddHBand="1" w:evenHBand="0" w:firstRowFirstColumn="0" w:firstRowLastColumn="0" w:lastRowFirstColumn="0" w:lastRowLastColumn="0"/>
            </w:pPr>
            <w:r>
              <w:t>Après 10 ans</w:t>
            </w:r>
          </w:p>
        </w:tc>
        <w:tc>
          <w:tcPr>
            <w:tcW w:w="3399" w:type="dxa"/>
          </w:tcPr>
          <w:p w:rsidR="00FA37E5" w:rsidRDefault="00FA37E5" w:rsidP="00FA37E5">
            <w:pPr>
              <w:cnfStyle w:val="000000100000" w:firstRow="0" w:lastRow="0" w:firstColumn="0" w:lastColumn="0" w:oddVBand="0" w:evenVBand="0" w:oddHBand="1" w:evenHBand="0" w:firstRowFirstColumn="0" w:firstRowLastColumn="0" w:lastRowFirstColumn="0" w:lastRowLastColumn="0"/>
            </w:pPr>
            <w:r>
              <w:t>Après 20 ans</w:t>
            </w:r>
          </w:p>
        </w:tc>
      </w:tr>
      <w:tr w:rsidR="00FA37E5" w:rsidTr="00897842">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9" w:type="dxa"/>
            <w:vMerge/>
          </w:tcPr>
          <w:p w:rsidR="00FA37E5" w:rsidRDefault="00FA37E5" w:rsidP="00FA37E5"/>
        </w:tc>
        <w:tc>
          <w:tcPr>
            <w:tcW w:w="3399" w:type="dxa"/>
          </w:tcPr>
          <w:p w:rsidR="00FA37E5" w:rsidRDefault="00FA37E5" w:rsidP="00FA37E5">
            <w:pPr>
              <w:cnfStyle w:val="000000010000" w:firstRow="0" w:lastRow="0" w:firstColumn="0" w:lastColumn="0" w:oddVBand="0" w:evenVBand="0" w:oddHBand="0" w:evenHBand="1" w:firstRowFirstColumn="0" w:firstRowLastColumn="0" w:lastRowFirstColumn="0" w:lastRowLastColumn="0"/>
            </w:pPr>
            <w:r>
              <w:t>2 mois</w:t>
            </w:r>
          </w:p>
        </w:tc>
        <w:tc>
          <w:tcPr>
            <w:tcW w:w="3399" w:type="dxa"/>
            <w:tcMar>
              <w:left w:w="0" w:type="nil"/>
              <w:bottom w:w="0" w:type="nil"/>
              <w:right w:w="0" w:type="nil"/>
            </w:tcMar>
          </w:tcPr>
          <w:p w:rsidR="00FA37E5" w:rsidRDefault="00FA37E5" w:rsidP="00FA37E5">
            <w:pPr>
              <w:cnfStyle w:val="000000010000" w:firstRow="0" w:lastRow="0" w:firstColumn="0" w:lastColumn="0" w:oddVBand="0" w:evenVBand="0" w:oddHBand="0" w:evenHBand="1" w:firstRowFirstColumn="0" w:firstRowLastColumn="0" w:lastRowFirstColumn="0" w:lastRowLastColumn="0"/>
            </w:pPr>
            <w:r>
              <w:t>3 mois</w:t>
            </w:r>
          </w:p>
        </w:tc>
      </w:tr>
      <w:tr w:rsidR="00FA37E5" w:rsidTr="00897842">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3399" w:type="dxa"/>
            <w:vMerge/>
          </w:tcPr>
          <w:p w:rsidR="00FA37E5" w:rsidRDefault="00FA37E5" w:rsidP="00FA37E5"/>
        </w:tc>
        <w:tc>
          <w:tcPr>
            <w:tcW w:w="3399" w:type="dxa"/>
          </w:tcPr>
          <w:p w:rsidR="00FA37E5" w:rsidRDefault="00FA37E5" w:rsidP="00FA37E5">
            <w:pPr>
              <w:cnfStyle w:val="000000100000" w:firstRow="0" w:lastRow="0" w:firstColumn="0" w:lastColumn="0" w:oddVBand="0" w:evenVBand="0" w:oddHBand="1" w:evenHBand="0" w:firstRowFirstColumn="0" w:firstRowLastColumn="0" w:lastRowFirstColumn="0" w:lastRowLastColumn="0"/>
            </w:pPr>
            <w:r>
              <w:t>Après 30 ans</w:t>
            </w:r>
          </w:p>
        </w:tc>
        <w:tc>
          <w:tcPr>
            <w:tcW w:w="3399" w:type="dxa"/>
          </w:tcPr>
          <w:p w:rsidR="00FA37E5" w:rsidRDefault="00FA37E5" w:rsidP="00FA37E5">
            <w:pPr>
              <w:cnfStyle w:val="000000100000" w:firstRow="0" w:lastRow="0" w:firstColumn="0" w:lastColumn="0" w:oddVBand="0" w:evenVBand="0" w:oddHBand="1" w:evenHBand="0" w:firstRowFirstColumn="0" w:firstRowLastColumn="0" w:lastRowFirstColumn="0" w:lastRowLastColumn="0"/>
            </w:pPr>
            <w:r>
              <w:t>Après 40 ans</w:t>
            </w:r>
          </w:p>
        </w:tc>
      </w:tr>
      <w:tr w:rsidR="00FA37E5" w:rsidTr="00897842">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9" w:type="dxa"/>
            <w:vMerge/>
          </w:tcPr>
          <w:p w:rsidR="00FA37E5" w:rsidRDefault="00FA37E5" w:rsidP="00FA37E5"/>
        </w:tc>
        <w:tc>
          <w:tcPr>
            <w:tcW w:w="3399" w:type="dxa"/>
          </w:tcPr>
          <w:p w:rsidR="00FA37E5" w:rsidRDefault="00FA37E5" w:rsidP="00FA37E5">
            <w:pPr>
              <w:cnfStyle w:val="000000010000" w:firstRow="0" w:lastRow="0" w:firstColumn="0" w:lastColumn="0" w:oddVBand="0" w:evenVBand="0" w:oddHBand="0" w:evenHBand="1" w:firstRowFirstColumn="0" w:firstRowLastColumn="0" w:lastRowFirstColumn="0" w:lastRowLastColumn="0"/>
            </w:pPr>
            <w:r>
              <w:t>4 mois</w:t>
            </w:r>
          </w:p>
        </w:tc>
        <w:tc>
          <w:tcPr>
            <w:tcW w:w="3399" w:type="dxa"/>
            <w:tcMar>
              <w:left w:w="0" w:type="nil"/>
              <w:bottom w:w="0" w:type="nil"/>
              <w:right w:w="0" w:type="nil"/>
            </w:tcMar>
          </w:tcPr>
          <w:p w:rsidR="00FA37E5" w:rsidRDefault="00FA37E5" w:rsidP="00FA37E5">
            <w:pPr>
              <w:cnfStyle w:val="000000010000" w:firstRow="0" w:lastRow="0" w:firstColumn="0" w:lastColumn="0" w:oddVBand="0" w:evenVBand="0" w:oddHBand="0" w:evenHBand="1" w:firstRowFirstColumn="0" w:firstRowLastColumn="0" w:lastRowFirstColumn="0" w:lastRowLastColumn="0"/>
              <w:rPr>
                <w:color w:val="FAA93A" w:themeColor="accent2"/>
              </w:rPr>
            </w:pPr>
            <w:r>
              <w:rPr>
                <w:color w:val="FAA93A" w:themeColor="accent2"/>
              </w:rPr>
              <w:t>6 mois</w:t>
            </w:r>
          </w:p>
        </w:tc>
      </w:tr>
      <w:tr w:rsidR="00FA37E5" w:rsidTr="00897842">
        <w:trPr>
          <w:gridAfter w:val="1"/>
          <w:cnfStyle w:val="000000100000" w:firstRow="0" w:lastRow="0" w:firstColumn="0" w:lastColumn="0" w:oddVBand="0" w:evenVBand="0" w:oddHBand="1" w:evenHBand="0" w:firstRowFirstColumn="0" w:firstRowLastColumn="0" w:lastRowFirstColumn="0" w:lastRowLastColumn="0"/>
          <w:wAfter w:w="3399" w:type="dxa"/>
          <w:trHeight w:val="116"/>
        </w:trPr>
        <w:tc>
          <w:tcPr>
            <w:cnfStyle w:val="001000000000" w:firstRow="0" w:lastRow="0" w:firstColumn="1" w:lastColumn="0" w:oddVBand="0" w:evenVBand="0" w:oddHBand="0" w:evenHBand="0" w:firstRowFirstColumn="0" w:firstRowLastColumn="0" w:lastRowFirstColumn="0" w:lastRowLastColumn="0"/>
            <w:tcW w:w="3399" w:type="dxa"/>
            <w:vMerge/>
          </w:tcPr>
          <w:p w:rsidR="00FA37E5" w:rsidRDefault="00FA37E5" w:rsidP="00FA37E5"/>
        </w:tc>
        <w:tc>
          <w:tcPr>
            <w:tcW w:w="3399" w:type="dxa"/>
          </w:tcPr>
          <w:p w:rsidR="00FA37E5" w:rsidRDefault="00FA37E5" w:rsidP="00FA37E5">
            <w:pPr>
              <w:cnfStyle w:val="000000100000" w:firstRow="0" w:lastRow="0" w:firstColumn="0" w:lastColumn="0" w:oddVBand="0" w:evenVBand="0" w:oddHBand="1" w:evenHBand="0" w:firstRowFirstColumn="0" w:firstRowLastColumn="0" w:lastRowFirstColumn="0" w:lastRowLastColumn="0"/>
            </w:pPr>
            <w:r>
              <w:t>Après 35 ans</w:t>
            </w:r>
          </w:p>
        </w:tc>
      </w:tr>
      <w:tr w:rsidR="00FA37E5" w:rsidTr="00897842">
        <w:trPr>
          <w:gridAfter w:val="1"/>
          <w:cnfStyle w:val="000000010000" w:firstRow="0" w:lastRow="0" w:firstColumn="0" w:lastColumn="0" w:oddVBand="0" w:evenVBand="0" w:oddHBand="0" w:evenHBand="1" w:firstRowFirstColumn="0" w:firstRowLastColumn="0" w:lastRowFirstColumn="0" w:lastRowLastColumn="0"/>
          <w:wAfter w:w="3399" w:type="dxa"/>
          <w:trHeight w:val="353"/>
        </w:trPr>
        <w:tc>
          <w:tcPr>
            <w:cnfStyle w:val="001000000000" w:firstRow="0" w:lastRow="0" w:firstColumn="1" w:lastColumn="0" w:oddVBand="0" w:evenVBand="0" w:oddHBand="0" w:evenHBand="0" w:firstRowFirstColumn="0" w:firstRowLastColumn="0" w:lastRowFirstColumn="0" w:lastRowLastColumn="0"/>
            <w:tcW w:w="3399" w:type="dxa"/>
            <w:vMerge/>
          </w:tcPr>
          <w:p w:rsidR="00FA37E5" w:rsidRDefault="00FA37E5" w:rsidP="00FA37E5"/>
        </w:tc>
        <w:tc>
          <w:tcPr>
            <w:tcW w:w="3399" w:type="dxa"/>
          </w:tcPr>
          <w:p w:rsidR="00FA37E5" w:rsidRDefault="00FA37E5" w:rsidP="00FA37E5">
            <w:pPr>
              <w:cnfStyle w:val="000000010000" w:firstRow="0" w:lastRow="0" w:firstColumn="0" w:lastColumn="0" w:oddVBand="0" w:evenVBand="0" w:oddHBand="0" w:evenHBand="1" w:firstRowFirstColumn="0" w:firstRowLastColumn="0" w:lastRowFirstColumn="0" w:lastRowLastColumn="0"/>
            </w:pPr>
            <w:r>
              <w:t>5 mois</w:t>
            </w:r>
          </w:p>
        </w:tc>
      </w:tr>
      <w:tr w:rsidR="00FA37E5" w:rsidTr="00897842">
        <w:trPr>
          <w:gridAfter w:val="1"/>
          <w:cnfStyle w:val="000000100000" w:firstRow="0" w:lastRow="0" w:firstColumn="0" w:lastColumn="0" w:oddVBand="0" w:evenVBand="0" w:oddHBand="1" w:evenHBand="0" w:firstRowFirstColumn="0" w:firstRowLastColumn="0" w:lastRowFirstColumn="0" w:lastRowLastColumn="0"/>
          <w:wAfter w:w="3399" w:type="dxa"/>
          <w:trHeight w:val="116"/>
        </w:trPr>
        <w:tc>
          <w:tcPr>
            <w:cnfStyle w:val="001000000000" w:firstRow="0" w:lastRow="0" w:firstColumn="1" w:lastColumn="0" w:oddVBand="0" w:evenVBand="0" w:oddHBand="0" w:evenHBand="0" w:firstRowFirstColumn="0" w:firstRowLastColumn="0" w:lastRowFirstColumn="0" w:lastRowLastColumn="0"/>
            <w:tcW w:w="3399" w:type="dxa"/>
            <w:vMerge/>
          </w:tcPr>
          <w:p w:rsidR="00FA37E5" w:rsidRDefault="00FA37E5" w:rsidP="00FA37E5"/>
        </w:tc>
        <w:tc>
          <w:tcPr>
            <w:tcW w:w="3399" w:type="dxa"/>
          </w:tcPr>
          <w:p w:rsidR="00FA37E5" w:rsidRDefault="00FA37E5" w:rsidP="00FA37E5">
            <w:pPr>
              <w:cnfStyle w:val="000000100000" w:firstRow="0" w:lastRow="0" w:firstColumn="0" w:lastColumn="0" w:oddVBand="0" w:evenVBand="0" w:oddHBand="1" w:evenHBand="0" w:firstRowFirstColumn="0" w:firstRowLastColumn="0" w:lastRowFirstColumn="0" w:lastRowLastColumn="0"/>
              <w:rPr>
                <w:color w:val="FAA93A" w:themeColor="accent2"/>
              </w:rPr>
            </w:pPr>
          </w:p>
        </w:tc>
      </w:tr>
    </w:tbl>
    <w:p w:rsidR="00FA37E5" w:rsidRDefault="001A4B04" w:rsidP="00A5112E">
      <w:pPr>
        <w:widowControl w:val="0"/>
        <w:autoSpaceDE w:val="0"/>
        <w:autoSpaceDN w:val="0"/>
        <w:adjustRightInd w:val="0"/>
        <w:spacing w:before="0" w:after="0" w:line="240" w:lineRule="auto"/>
        <w:rPr>
          <w:rFonts w:ascii="Tahoma" w:hAnsi="Tahoma" w:cs="Tahoma"/>
          <w:b/>
        </w:rPr>
      </w:pPr>
      <w:r>
        <w:rPr>
          <w:rFonts w:ascii="&amp;quot" w:hAnsi="&amp;quot"/>
          <w:noProof/>
          <w:color w:val="000000"/>
          <w:sz w:val="21"/>
          <w:szCs w:val="21"/>
        </w:rPr>
        <w:drawing>
          <wp:anchor distT="0" distB="0" distL="114300" distR="114300" simplePos="0" relativeHeight="251696128" behindDoc="1" locked="0" layoutInCell="1" allowOverlap="1" wp14:anchorId="01B9B303">
            <wp:simplePos x="0" y="0"/>
            <wp:positionH relativeFrom="margin">
              <wp:align>left</wp:align>
            </wp:positionH>
            <wp:positionV relativeFrom="paragraph">
              <wp:posOffset>12065</wp:posOffset>
            </wp:positionV>
            <wp:extent cx="381003" cy="525780"/>
            <wp:effectExtent l="0" t="0" r="0" b="7620"/>
            <wp:wrapTight wrapText="bothSides">
              <wp:wrapPolygon edited="0">
                <wp:start x="0" y="0"/>
                <wp:lineTo x="0" y="21130"/>
                <wp:lineTo x="20520" y="21130"/>
                <wp:lineTo x="20520" y="0"/>
                <wp:lineTo x="0" y="0"/>
              </wp:wrapPolygon>
            </wp:wrapTight>
            <wp:docPr id="3" name="Image 3" descr="Pictogramme org.jahia.services.content.JCRValueWrapperImpl@ab526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381003" cy="525780"/>
                    </a:xfrm>
                    <a:prstGeom prst="rect">
                      <a:avLst/>
                    </a:prstGeom>
                    <a:noFill/>
                    <a:ln>
                      <a:noFill/>
                      <a:prstDash/>
                    </a:ln>
                  </pic:spPr>
                </pic:pic>
              </a:graphicData>
            </a:graphic>
          </wp:anchor>
        </w:drawing>
      </w:r>
      <w:r w:rsidR="00BE26DB" w:rsidRPr="00BE26DB">
        <w:rPr>
          <w:rFonts w:ascii="Tahoma" w:hAnsi="Tahoma" w:cs="Tahoma"/>
          <w:b/>
        </w:rPr>
        <w:t>A NOTER</w:t>
      </w:r>
    </w:p>
    <w:p w:rsidR="00C74345" w:rsidRDefault="00C74345" w:rsidP="00A5112E">
      <w:pPr>
        <w:widowControl w:val="0"/>
        <w:autoSpaceDE w:val="0"/>
        <w:autoSpaceDN w:val="0"/>
        <w:adjustRightInd w:val="0"/>
        <w:spacing w:before="0" w:after="0" w:line="240" w:lineRule="auto"/>
        <w:rPr>
          <w:rFonts w:ascii="Tahoma" w:hAnsi="Tahoma" w:cs="Tahoma"/>
        </w:rPr>
      </w:pPr>
    </w:p>
    <w:p w:rsidR="00FA37E5" w:rsidRDefault="00FA37E5" w:rsidP="00FA37E5">
      <w:pPr>
        <w:pStyle w:val="Titre5"/>
      </w:pPr>
      <w:r>
        <w:t>Les Dé</w:t>
      </w:r>
      <w:r w:rsidRPr="00BE26DB">
        <w:t xml:space="preserve">parts </w:t>
      </w:r>
      <w:r>
        <w:t>Anticipés :</w:t>
      </w:r>
    </w:p>
    <w:p w:rsidR="00FA37E5" w:rsidRPr="00FA37E5" w:rsidRDefault="00FA37E5" w:rsidP="00FA37E5">
      <w:pPr>
        <w:pStyle w:val="NormalWeb"/>
        <w:spacing w:before="0" w:after="0"/>
        <w:rPr>
          <w:rFonts w:ascii="Arial" w:hAnsi="Arial" w:cs="Arial"/>
          <w:color w:val="6C6C6C"/>
          <w:sz w:val="20"/>
          <w:szCs w:val="20"/>
        </w:rPr>
      </w:pPr>
      <w:r>
        <w:rPr>
          <w:rFonts w:ascii="Arial" w:hAnsi="Arial" w:cs="Arial"/>
          <w:color w:val="6C6C6C"/>
          <w:sz w:val="20"/>
          <w:szCs w:val="20"/>
        </w:rPr>
        <w:t>Il est possible de comptabiliser, dans sa durée d'assurance cotisée, depuis le 1er avril 2014 :</w:t>
      </w:r>
    </w:p>
    <w:tbl>
      <w:tblPr>
        <w:tblW w:w="10400" w:type="dxa"/>
        <w:shd w:val="clear" w:color="auto" w:fill="FCCB88" w:themeFill="accent2" w:themeFillTint="99"/>
        <w:tblCellMar>
          <w:left w:w="10" w:type="dxa"/>
          <w:right w:w="10" w:type="dxa"/>
        </w:tblCellMar>
        <w:tblLook w:val="04A0" w:firstRow="1" w:lastRow="0" w:firstColumn="1" w:lastColumn="0" w:noHBand="0" w:noVBand="1"/>
      </w:tblPr>
      <w:tblGrid>
        <w:gridCol w:w="5200"/>
        <w:gridCol w:w="5200"/>
      </w:tblGrid>
      <w:tr w:rsidR="00FA37E5" w:rsidRPr="00FA37E5" w:rsidTr="00FA37E5">
        <w:trPr>
          <w:trHeight w:val="346"/>
        </w:trPr>
        <w:tc>
          <w:tcPr>
            <w:tcW w:w="5200" w:type="dxa"/>
            <w:tcBorders>
              <w:top w:val="single" w:sz="4" w:space="0" w:color="000000"/>
              <w:left w:val="single" w:sz="4" w:space="0" w:color="000000"/>
              <w:bottom w:val="single" w:sz="4" w:space="0" w:color="000000"/>
              <w:right w:val="single" w:sz="4" w:space="0" w:color="000000"/>
            </w:tcBorders>
            <w:shd w:val="clear" w:color="auto" w:fill="FCCB88" w:themeFill="accent2" w:themeFillTint="99"/>
            <w:tcMar>
              <w:top w:w="0" w:type="dxa"/>
              <w:left w:w="108" w:type="dxa"/>
              <w:bottom w:w="0" w:type="dxa"/>
              <w:right w:w="108" w:type="dxa"/>
            </w:tcMar>
          </w:tcPr>
          <w:p w:rsidR="00FA37E5" w:rsidRPr="00FA37E5" w:rsidRDefault="00FA37E5" w:rsidP="00642DA9">
            <w:pPr>
              <w:pStyle w:val="NormalWeb"/>
              <w:spacing w:before="0" w:after="0"/>
              <w:rPr>
                <w:color w:val="595959" w:themeColor="text1" w:themeTint="A6"/>
              </w:rPr>
            </w:pPr>
            <w:r w:rsidRPr="00FA37E5">
              <w:rPr>
                <w:rFonts w:ascii="Arial" w:hAnsi="Arial" w:cs="Arial"/>
                <w:color w:val="595959" w:themeColor="text1" w:themeTint="A6"/>
                <w:sz w:val="20"/>
                <w:szCs w:val="20"/>
              </w:rPr>
              <w:t>4 Trimestres de congé maladie, et accident du Travail ;</w:t>
            </w:r>
          </w:p>
        </w:tc>
        <w:tc>
          <w:tcPr>
            <w:tcW w:w="5200" w:type="dxa"/>
            <w:tcBorders>
              <w:top w:val="single" w:sz="4" w:space="0" w:color="000000"/>
              <w:left w:val="single" w:sz="4" w:space="0" w:color="000000"/>
              <w:bottom w:val="single" w:sz="4" w:space="0" w:color="000000"/>
              <w:right w:val="single" w:sz="4" w:space="0" w:color="000000"/>
            </w:tcBorders>
            <w:shd w:val="clear" w:color="auto" w:fill="FCCB88" w:themeFill="accent2" w:themeFillTint="99"/>
            <w:tcMar>
              <w:top w:w="0" w:type="dxa"/>
              <w:left w:w="108" w:type="dxa"/>
              <w:bottom w:w="0" w:type="dxa"/>
              <w:right w:w="108" w:type="dxa"/>
            </w:tcMar>
          </w:tcPr>
          <w:p w:rsidR="00FA37E5" w:rsidRPr="00FA37E5" w:rsidRDefault="00FA37E5" w:rsidP="00642DA9">
            <w:pPr>
              <w:pStyle w:val="NormalWeb"/>
              <w:spacing w:before="0" w:after="0"/>
              <w:rPr>
                <w:color w:val="595959" w:themeColor="text1" w:themeTint="A6"/>
              </w:rPr>
            </w:pPr>
            <w:r w:rsidRPr="00FA37E5">
              <w:rPr>
                <w:rFonts w:ascii="Arial" w:hAnsi="Arial" w:cs="Arial"/>
                <w:color w:val="595959" w:themeColor="text1" w:themeTint="A6"/>
                <w:sz w:val="20"/>
                <w:szCs w:val="20"/>
              </w:rPr>
              <w:t>4 Trimestres de chômage indemnisé</w:t>
            </w:r>
          </w:p>
        </w:tc>
      </w:tr>
      <w:tr w:rsidR="00FA37E5" w:rsidRPr="00FA37E5" w:rsidTr="00FA37E5">
        <w:trPr>
          <w:trHeight w:val="346"/>
        </w:trPr>
        <w:tc>
          <w:tcPr>
            <w:tcW w:w="5200" w:type="dxa"/>
            <w:tcBorders>
              <w:top w:val="single" w:sz="4" w:space="0" w:color="000000"/>
              <w:left w:val="single" w:sz="4" w:space="0" w:color="000000"/>
              <w:bottom w:val="single" w:sz="4" w:space="0" w:color="000000"/>
              <w:right w:val="single" w:sz="4" w:space="0" w:color="000000"/>
            </w:tcBorders>
            <w:shd w:val="clear" w:color="auto" w:fill="FCCB88" w:themeFill="accent2" w:themeFillTint="99"/>
            <w:tcMar>
              <w:top w:w="0" w:type="dxa"/>
              <w:left w:w="108" w:type="dxa"/>
              <w:bottom w:w="0" w:type="dxa"/>
              <w:right w:w="108" w:type="dxa"/>
            </w:tcMar>
          </w:tcPr>
          <w:p w:rsidR="00FA37E5" w:rsidRPr="00FA37E5" w:rsidRDefault="00FA37E5" w:rsidP="00642DA9">
            <w:pPr>
              <w:pStyle w:val="NormalWeb"/>
              <w:spacing w:before="0" w:after="0"/>
              <w:rPr>
                <w:color w:val="595959" w:themeColor="text1" w:themeTint="A6"/>
              </w:rPr>
            </w:pPr>
            <w:r w:rsidRPr="00FA37E5">
              <w:rPr>
                <w:rFonts w:ascii="Arial" w:hAnsi="Arial" w:cs="Arial"/>
                <w:color w:val="595959" w:themeColor="text1" w:themeTint="A6"/>
                <w:sz w:val="20"/>
                <w:szCs w:val="20"/>
              </w:rPr>
              <w:t>4 Trimestres de service militaire</w:t>
            </w:r>
          </w:p>
        </w:tc>
        <w:tc>
          <w:tcPr>
            <w:tcW w:w="5200" w:type="dxa"/>
            <w:tcBorders>
              <w:top w:val="single" w:sz="4" w:space="0" w:color="000000"/>
              <w:left w:val="single" w:sz="4" w:space="0" w:color="000000"/>
              <w:bottom w:val="single" w:sz="4" w:space="0" w:color="000000"/>
              <w:right w:val="single" w:sz="4" w:space="0" w:color="000000"/>
            </w:tcBorders>
            <w:shd w:val="clear" w:color="auto" w:fill="FCCB88" w:themeFill="accent2" w:themeFillTint="99"/>
            <w:tcMar>
              <w:top w:w="0" w:type="dxa"/>
              <w:left w:w="108" w:type="dxa"/>
              <w:bottom w:w="0" w:type="dxa"/>
              <w:right w:w="108" w:type="dxa"/>
            </w:tcMar>
          </w:tcPr>
          <w:p w:rsidR="00FA37E5" w:rsidRPr="00FA37E5" w:rsidRDefault="00FA37E5" w:rsidP="00642DA9">
            <w:pPr>
              <w:pStyle w:val="NormalWeb"/>
              <w:spacing w:before="0" w:after="0"/>
              <w:rPr>
                <w:color w:val="595959" w:themeColor="text1" w:themeTint="A6"/>
              </w:rPr>
            </w:pPr>
            <w:r w:rsidRPr="00FA37E5">
              <w:rPr>
                <w:rFonts w:ascii="Arial" w:hAnsi="Arial" w:cs="Arial"/>
                <w:color w:val="595959" w:themeColor="text1" w:themeTint="A6"/>
                <w:sz w:val="20"/>
                <w:szCs w:val="20"/>
              </w:rPr>
              <w:t>2 Trimestres d’invalidité</w:t>
            </w:r>
          </w:p>
        </w:tc>
      </w:tr>
      <w:tr w:rsidR="00FA37E5" w:rsidRPr="00FA37E5" w:rsidTr="00FA37E5">
        <w:trPr>
          <w:trHeight w:val="346"/>
        </w:trPr>
        <w:tc>
          <w:tcPr>
            <w:tcW w:w="5200" w:type="dxa"/>
            <w:tcBorders>
              <w:top w:val="single" w:sz="4" w:space="0" w:color="000000"/>
              <w:left w:val="single" w:sz="4" w:space="0" w:color="000000"/>
              <w:bottom w:val="single" w:sz="4" w:space="0" w:color="000000"/>
              <w:right w:val="single" w:sz="4" w:space="0" w:color="000000"/>
            </w:tcBorders>
            <w:shd w:val="clear" w:color="auto" w:fill="FCCB88" w:themeFill="accent2" w:themeFillTint="99"/>
            <w:tcMar>
              <w:top w:w="0" w:type="dxa"/>
              <w:left w:w="108" w:type="dxa"/>
              <w:bottom w:w="0" w:type="dxa"/>
              <w:right w:w="108" w:type="dxa"/>
            </w:tcMar>
          </w:tcPr>
          <w:p w:rsidR="00FA37E5" w:rsidRPr="00FA37E5" w:rsidRDefault="00FA37E5" w:rsidP="00642DA9">
            <w:pPr>
              <w:pStyle w:val="NormalWeb"/>
              <w:spacing w:before="0" w:after="0"/>
              <w:rPr>
                <w:rFonts w:ascii="Arial" w:hAnsi="Arial" w:cs="Arial"/>
                <w:color w:val="595959" w:themeColor="text1" w:themeTint="A6"/>
                <w:sz w:val="20"/>
                <w:szCs w:val="20"/>
              </w:rPr>
            </w:pPr>
            <w:r w:rsidRPr="00FA37E5">
              <w:rPr>
                <w:rFonts w:ascii="Arial" w:hAnsi="Arial" w:cs="Arial"/>
                <w:color w:val="595959" w:themeColor="text1" w:themeTint="A6"/>
                <w:sz w:val="20"/>
                <w:szCs w:val="20"/>
              </w:rPr>
              <w:t>Tous les trimestres de congé maternité</w:t>
            </w:r>
          </w:p>
        </w:tc>
        <w:tc>
          <w:tcPr>
            <w:tcW w:w="5200" w:type="dxa"/>
            <w:tcBorders>
              <w:top w:val="single" w:sz="4" w:space="0" w:color="000000"/>
              <w:left w:val="single" w:sz="4" w:space="0" w:color="000000"/>
              <w:bottom w:val="single" w:sz="4" w:space="0" w:color="000000"/>
              <w:right w:val="single" w:sz="4" w:space="0" w:color="000000"/>
            </w:tcBorders>
            <w:shd w:val="clear" w:color="auto" w:fill="FCCB88" w:themeFill="accent2" w:themeFillTint="99"/>
            <w:tcMar>
              <w:top w:w="0" w:type="dxa"/>
              <w:left w:w="108" w:type="dxa"/>
              <w:bottom w:w="0" w:type="dxa"/>
              <w:right w:w="108" w:type="dxa"/>
            </w:tcMar>
          </w:tcPr>
          <w:p w:rsidR="00FA37E5" w:rsidRPr="00FA37E5" w:rsidRDefault="00FA37E5" w:rsidP="00642DA9">
            <w:pPr>
              <w:pStyle w:val="NormalWeb"/>
              <w:spacing w:before="0" w:after="0"/>
              <w:rPr>
                <w:rFonts w:ascii="Arial" w:hAnsi="Arial" w:cs="Arial"/>
                <w:color w:val="595959" w:themeColor="text1" w:themeTint="A6"/>
                <w:sz w:val="20"/>
                <w:szCs w:val="20"/>
              </w:rPr>
            </w:pPr>
            <w:r w:rsidRPr="00FA37E5">
              <w:rPr>
                <w:rFonts w:ascii="Arial" w:hAnsi="Arial" w:cs="Arial"/>
                <w:color w:val="595959" w:themeColor="text1" w:themeTint="A6"/>
                <w:sz w:val="20"/>
                <w:szCs w:val="20"/>
              </w:rPr>
              <w:t>Les trimestres acquis au titre du dispositif C2P</w:t>
            </w:r>
          </w:p>
        </w:tc>
      </w:tr>
    </w:tbl>
    <w:p w:rsidR="00FA37E5" w:rsidRPr="00A5112E" w:rsidRDefault="00FA37E5" w:rsidP="00A5112E">
      <w:pPr>
        <w:widowControl w:val="0"/>
        <w:autoSpaceDE w:val="0"/>
        <w:autoSpaceDN w:val="0"/>
        <w:adjustRightInd w:val="0"/>
        <w:spacing w:before="0" w:after="0" w:line="240" w:lineRule="auto"/>
        <w:rPr>
          <w:rFonts w:ascii="Tahoma" w:hAnsi="Tahoma" w:cs="Tahoma"/>
        </w:rPr>
      </w:pPr>
    </w:p>
    <w:p w:rsidR="00BE26DB" w:rsidRPr="00BE26DB" w:rsidRDefault="00BE26DB" w:rsidP="00BE26DB">
      <w:pPr>
        <w:pStyle w:val="Titre5"/>
        <w:rPr>
          <w:rFonts w:cs="Tahoma"/>
          <w:b/>
        </w:rPr>
      </w:pPr>
      <w:r w:rsidRPr="00BE26DB">
        <w:rPr>
          <w:rStyle w:val="lev"/>
          <w:rFonts w:cs="Tahoma"/>
          <w:b w:val="0"/>
        </w:rPr>
        <w:t>Les périodes de chômage indemnisé</w:t>
      </w:r>
    </w:p>
    <w:p w:rsidR="00BE26DB" w:rsidRPr="00BE26DB" w:rsidRDefault="00BE26DB" w:rsidP="00BE26DB">
      <w:pPr>
        <w:pStyle w:val="NormalWeb"/>
        <w:spacing w:before="0" w:after="150"/>
        <w:rPr>
          <w:rFonts w:ascii="Arial" w:hAnsi="Arial" w:cs="Arial"/>
          <w:color w:val="000000"/>
          <w:sz w:val="20"/>
          <w:szCs w:val="20"/>
          <w:shd w:val="clear" w:color="auto" w:fill="FFFFFF"/>
        </w:rPr>
      </w:pPr>
      <w:r w:rsidRPr="00BE26DB">
        <w:rPr>
          <w:rFonts w:ascii="Arial" w:hAnsi="Arial" w:cs="Arial"/>
          <w:color w:val="000000"/>
          <w:sz w:val="20"/>
          <w:szCs w:val="20"/>
        </w:rPr>
        <w:t>Vos périodes de chômage indemnisé sont assimilées à des périodes d’assurance et comptent pour votre retraite. Un trimestre est validé tous les 50 jours de chômage indemnisé, dans la limite de 4 trimestres par an. </w:t>
      </w:r>
      <w:r w:rsidRPr="00BE26DB">
        <w:rPr>
          <w:rFonts w:ascii="Arial" w:hAnsi="Arial" w:cs="Arial"/>
          <w:color w:val="000000"/>
          <w:sz w:val="20"/>
          <w:szCs w:val="20"/>
          <w:shd w:val="clear" w:color="auto" w:fill="FFFFFF"/>
        </w:rPr>
        <w:t>Cependant, vous ne cotisez pas pour votre retraite, aucune somme n’est donc reportée sur votre relevé de carrière.</w:t>
      </w:r>
    </w:p>
    <w:p w:rsidR="00BE26DB" w:rsidRDefault="00BE26DB" w:rsidP="00BE26DB">
      <w:pPr>
        <w:pStyle w:val="Titre5"/>
      </w:pPr>
      <w:r>
        <w:t>Années d'études concernées</w:t>
      </w:r>
    </w:p>
    <w:p w:rsidR="00BE26DB" w:rsidRDefault="00BE26DB" w:rsidP="00BE26DB">
      <w:pPr>
        <w:pStyle w:val="NormalWeb"/>
        <w:spacing w:before="0" w:after="150"/>
        <w:rPr>
          <w:rFonts w:ascii="&amp;quot" w:hAnsi="&amp;quot"/>
          <w:color w:val="414856"/>
        </w:rPr>
      </w:pPr>
      <w:r w:rsidRPr="00BE26DB">
        <w:rPr>
          <w:rFonts w:ascii="Arial" w:hAnsi="Arial" w:cs="Arial"/>
          <w:color w:val="414856"/>
          <w:sz w:val="20"/>
          <w:szCs w:val="20"/>
        </w:rPr>
        <w:t>Si vous avez effectué des études supérieures, vous pouvez demander à racheter des trimestres de retraite à ce titre si vous avez été affilié au régime général dès la fin de vos études.</w:t>
      </w:r>
      <w:r>
        <w:rPr>
          <w:rFonts w:ascii="Arial" w:hAnsi="Arial" w:cs="Arial"/>
          <w:color w:val="414856"/>
          <w:sz w:val="20"/>
          <w:szCs w:val="20"/>
        </w:rPr>
        <w:t xml:space="preserve"> </w:t>
      </w:r>
      <w:r w:rsidRPr="00BE26DB">
        <w:rPr>
          <w:rFonts w:ascii="Arial" w:hAnsi="Arial" w:cs="Arial"/>
          <w:color w:val="414856"/>
          <w:sz w:val="20"/>
          <w:szCs w:val="20"/>
        </w:rPr>
        <w:t>Vos études doivent avoir été accomplies dans des établissements d'enseignement supérieur</w:t>
      </w:r>
      <w:r>
        <w:rPr>
          <w:rFonts w:ascii="Arial" w:hAnsi="Arial" w:cs="Arial"/>
          <w:color w:val="414856"/>
          <w:sz w:val="20"/>
          <w:szCs w:val="20"/>
        </w:rPr>
        <w:t xml:space="preserve">. </w:t>
      </w:r>
      <w:r w:rsidRPr="00BE26DB">
        <w:rPr>
          <w:rFonts w:ascii="Arial" w:hAnsi="Arial" w:cs="Arial"/>
          <w:color w:val="414856"/>
          <w:sz w:val="20"/>
          <w:szCs w:val="20"/>
        </w:rPr>
        <w:t>Ces périodes d'études doivent avoir donné lieu à l'obtention d'un diplôme français ou d'un diplôme équivalent</w:t>
      </w:r>
      <w:r>
        <w:rPr>
          <w:rFonts w:ascii="&amp;quot" w:hAnsi="&amp;quot"/>
          <w:color w:val="414856"/>
        </w:rPr>
        <w:t>.</w:t>
      </w:r>
    </w:p>
    <w:p w:rsidR="00BE26DB" w:rsidRPr="00DF603B" w:rsidRDefault="00BE26DB" w:rsidP="00DF603B">
      <w:pPr>
        <w:pStyle w:val="Titre5"/>
      </w:pPr>
      <w:r w:rsidRPr="00DF603B">
        <w:t>Évaluer le coût de rachat d'un trimestre</w:t>
      </w:r>
    </w:p>
    <w:p w:rsidR="00A5112E" w:rsidRDefault="00F04C3A" w:rsidP="00DF603B">
      <w:pPr>
        <w:pStyle w:val="NormalWeb"/>
        <w:shd w:val="clear" w:color="auto" w:fill="F2F2F2"/>
        <w:spacing w:before="0" w:after="0"/>
        <w:rPr>
          <w:rFonts w:ascii="&amp;quot" w:hAnsi="&amp;quot"/>
          <w:color w:val="6E6E6E"/>
          <w:sz w:val="21"/>
          <w:szCs w:val="21"/>
        </w:rPr>
      </w:pPr>
      <w:hyperlink r:id="rId36" w:tooltip="Accéder au simulateur - Nouvelle fenêtre" w:history="1">
        <w:r w:rsidR="00BE26DB">
          <w:rPr>
            <w:rStyle w:val="Lienhypertexte"/>
            <w:rFonts w:ascii="&amp;quot" w:hAnsi="&amp;quot"/>
            <w:color w:val="FFFFFF"/>
            <w:shd w:val="clear" w:color="auto" w:fill="0B6BA8"/>
          </w:rPr>
          <w:t>Accéder au simulateur</w:t>
        </w:r>
      </w:hyperlink>
      <w:r w:rsidR="00BE26DB">
        <w:rPr>
          <w:rStyle w:val="Lienhypertexte"/>
          <w:rFonts w:ascii="&amp;quot" w:hAnsi="&amp;quot"/>
          <w:color w:val="FFFFFF"/>
          <w:shd w:val="clear" w:color="auto" w:fill="0B6BA8"/>
        </w:rPr>
        <w:t xml:space="preserve"> </w:t>
      </w:r>
      <w:r w:rsidR="00BE26DB">
        <w:rPr>
          <w:rFonts w:ascii="&amp;quot" w:hAnsi="&amp;quot"/>
          <w:color w:val="6E6E6E"/>
          <w:sz w:val="21"/>
          <w:szCs w:val="21"/>
        </w:rPr>
        <w:t>Caisse nationale d'assurance vieillesse (Cnav)</w:t>
      </w:r>
    </w:p>
    <w:p w:rsidR="00DF603B" w:rsidRDefault="00DF603B" w:rsidP="00DF603B">
      <w:pPr>
        <w:pStyle w:val="Titre5"/>
      </w:pPr>
      <w:r>
        <w:t>Quelles sont les démarches pour demander ma retraite complémentaire ?</w:t>
      </w:r>
    </w:p>
    <w:p w:rsidR="00121C9C" w:rsidRDefault="00DF603B" w:rsidP="00DF603B">
      <w:pPr>
        <w:rPr>
          <w:rFonts w:ascii="DaxOT-CondLight" w:hAnsi="DaxOT-CondLight" w:cs="DaxOT-CondLight"/>
          <w:sz w:val="22"/>
          <w:szCs w:val="22"/>
        </w:rPr>
      </w:pPr>
      <w:r w:rsidRPr="00DF603B">
        <w:rPr>
          <w:rFonts w:ascii="Arial" w:hAnsi="Arial" w:cs="Arial"/>
        </w:rPr>
        <w:t xml:space="preserve">Quatre mois avant votre départ en retraite </w:t>
      </w:r>
      <w:r>
        <w:rPr>
          <w:rFonts w:ascii="DaxOT-CondLight" w:hAnsi="DaxOT-CondLight" w:cs="DaxOT-CondLight"/>
          <w:sz w:val="22"/>
          <w:szCs w:val="22"/>
        </w:rPr>
        <w:t>contactez un conseiller retraite au 0 820 200</w:t>
      </w:r>
      <w:r w:rsidR="00FA31DE">
        <w:rPr>
          <w:rFonts w:ascii="DaxOT-CondLight" w:hAnsi="DaxOT-CondLight" w:cs="DaxOT-CondLight"/>
          <w:sz w:val="22"/>
          <w:szCs w:val="22"/>
        </w:rPr>
        <w:t> </w:t>
      </w:r>
      <w:r>
        <w:rPr>
          <w:rFonts w:ascii="DaxOT-CondLight" w:hAnsi="DaxOT-CondLight" w:cs="DaxOT-CondLight"/>
          <w:sz w:val="22"/>
          <w:szCs w:val="22"/>
        </w:rPr>
        <w:t>189</w:t>
      </w:r>
    </w:p>
    <w:p w:rsidR="001A4B04" w:rsidRDefault="001A4B04" w:rsidP="00DF603B">
      <w:pPr>
        <w:rPr>
          <w:rFonts w:ascii="DaxOT-CondLight" w:hAnsi="DaxOT-CondLight" w:cs="DaxOT-CondLight"/>
          <w:sz w:val="22"/>
          <w:szCs w:val="22"/>
        </w:rPr>
      </w:pPr>
    </w:p>
    <w:p w:rsidR="00FA31DE" w:rsidRDefault="00FA31DE" w:rsidP="00DF603B">
      <w:pPr>
        <w:rPr>
          <w:rFonts w:ascii="DaxOT-CondLight" w:hAnsi="DaxOT-CondLight" w:cs="DaxOT-CondLight"/>
          <w:sz w:val="22"/>
          <w:szCs w:val="22"/>
        </w:rPr>
      </w:pPr>
    </w:p>
    <w:p w:rsidR="00FA31DE" w:rsidRDefault="00FA31DE" w:rsidP="00DF603B">
      <w:pPr>
        <w:rPr>
          <w:rFonts w:ascii="DaxOT-CondLight" w:hAnsi="DaxOT-CondLight" w:cs="DaxOT-CondLight"/>
          <w:sz w:val="22"/>
          <w:szCs w:val="22"/>
        </w:rPr>
      </w:pPr>
    </w:p>
    <w:p w:rsidR="00FA31DE" w:rsidRDefault="00FA31DE" w:rsidP="00DF603B">
      <w:pPr>
        <w:rPr>
          <w:rFonts w:ascii="DaxOT-CondLight" w:hAnsi="DaxOT-CondLight" w:cs="DaxOT-CondLight"/>
          <w:sz w:val="22"/>
          <w:szCs w:val="22"/>
        </w:rPr>
      </w:pPr>
    </w:p>
    <w:p w:rsidR="00B372DA" w:rsidRPr="00B372DA" w:rsidRDefault="00B372DA" w:rsidP="00B372DA">
      <w:pPr>
        <w:pStyle w:val="Titre5"/>
        <w:rPr>
          <w:rStyle w:val="Titre5Car"/>
          <w:caps/>
        </w:rPr>
      </w:pPr>
      <w:r w:rsidRPr="00B372DA">
        <w:rPr>
          <w:rStyle w:val="Titre5Car"/>
          <w:caps/>
        </w:rPr>
        <w:lastRenderedPageBreak/>
        <w:t>Non à la remise en cause des pensions de réversion</w:t>
      </w:r>
    </w:p>
    <w:p w:rsidR="00DF603B" w:rsidRPr="00DF603B" w:rsidRDefault="001A4B04" w:rsidP="00DF603B">
      <w:pPr>
        <w:rPr>
          <w:rFonts w:ascii="Arial" w:hAnsi="Arial" w:cs="Arial"/>
          <w:color w:val="75A42E" w:themeColor="accent1" w:themeShade="BF"/>
        </w:rPr>
      </w:pPr>
      <w:r>
        <w:rPr>
          <w:noProof/>
        </w:rPr>
        <w:drawing>
          <wp:anchor distT="0" distB="0" distL="114300" distR="114300" simplePos="0" relativeHeight="251698176" behindDoc="0" locked="0" layoutInCell="1" allowOverlap="1" wp14:anchorId="5400983E">
            <wp:simplePos x="0" y="0"/>
            <wp:positionH relativeFrom="column">
              <wp:posOffset>3580765</wp:posOffset>
            </wp:positionH>
            <wp:positionV relativeFrom="paragraph">
              <wp:posOffset>-187960</wp:posOffset>
            </wp:positionV>
            <wp:extent cx="2703195" cy="1193800"/>
            <wp:effectExtent l="0" t="0" r="1905" b="6350"/>
            <wp:wrapNone/>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2019-04-14 (2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3195" cy="1193800"/>
                    </a:xfrm>
                    <a:prstGeom prst="rect">
                      <a:avLst/>
                    </a:prstGeom>
                  </pic:spPr>
                </pic:pic>
              </a:graphicData>
            </a:graphic>
            <wp14:sizeRelH relativeFrom="margin">
              <wp14:pctWidth>0</wp14:pctWidth>
            </wp14:sizeRelH>
            <wp14:sizeRelV relativeFrom="margin">
              <wp14:pctHeight>0</wp14:pctHeight>
            </wp14:sizeRelV>
          </wp:anchor>
        </w:drawing>
      </w:r>
      <w:r w:rsidR="00121C9C" w:rsidRPr="00B372DA">
        <w:rPr>
          <w:noProof/>
        </w:rPr>
        <mc:AlternateContent>
          <mc:Choice Requires="wps">
            <w:drawing>
              <wp:anchor distT="0" distB="0" distL="114300" distR="114300" simplePos="0" relativeHeight="251697152" behindDoc="0" locked="0" layoutInCell="1" allowOverlap="1">
                <wp:simplePos x="0" y="0"/>
                <wp:positionH relativeFrom="margin">
                  <wp:posOffset>2285365</wp:posOffset>
                </wp:positionH>
                <wp:positionV relativeFrom="paragraph">
                  <wp:posOffset>-2540</wp:posOffset>
                </wp:positionV>
                <wp:extent cx="4334933" cy="812800"/>
                <wp:effectExtent l="0" t="0" r="8890" b="6350"/>
                <wp:wrapNone/>
                <wp:docPr id="31" name="Rectangle 31"/>
                <wp:cNvGraphicFramePr/>
                <a:graphic xmlns:a="http://schemas.openxmlformats.org/drawingml/2006/main">
                  <a:graphicData uri="http://schemas.microsoft.com/office/word/2010/wordprocessingShape">
                    <wps:wsp>
                      <wps:cNvSpPr/>
                      <wps:spPr>
                        <a:xfrm>
                          <a:off x="0" y="0"/>
                          <a:ext cx="4334933" cy="812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BC00C" id="Rectangle 31" o:spid="_x0000_s1026" style="position:absolute;margin-left:179.95pt;margin-top:-.2pt;width:341.35pt;height:6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" fillcolor="white [3201]" stroked="f" strokeweight="1pt">
                <w10:wrap anchorx="margin"/>
              </v:rect>
            </w:pict>
          </mc:Fallback>
        </mc:AlternateContent>
      </w:r>
      <w:r w:rsidR="00DF603B">
        <w:rPr>
          <w:rFonts w:ascii="Arial" w:hAnsi="Arial" w:cs="Arial"/>
          <w:noProof/>
          <w:color w:val="75A42E" w:themeColor="accent1" w:themeShade="BF"/>
        </w:rPr>
        <w:drawing>
          <wp:inline distT="0" distB="0" distL="0" distR="0">
            <wp:extent cx="6645910" cy="3775075"/>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4-14 (24).png"/>
                    <pic:cNvPicPr/>
                  </pic:nvPicPr>
                  <pic:blipFill>
                    <a:blip r:embed="rId38">
                      <a:extLst>
                        <a:ext uri="{28A0092B-C50C-407E-A947-70E740481C1C}">
                          <a14:useLocalDpi xmlns:a14="http://schemas.microsoft.com/office/drawing/2010/main" val="0"/>
                        </a:ext>
                      </a:extLst>
                    </a:blip>
                    <a:stretch>
                      <a:fillRect/>
                    </a:stretch>
                  </pic:blipFill>
                  <pic:spPr>
                    <a:xfrm>
                      <a:off x="0" y="0"/>
                      <a:ext cx="6645910" cy="3775075"/>
                    </a:xfrm>
                    <a:prstGeom prst="rect">
                      <a:avLst/>
                    </a:prstGeom>
                  </pic:spPr>
                </pic:pic>
              </a:graphicData>
            </a:graphic>
          </wp:inline>
        </w:drawing>
      </w:r>
    </w:p>
    <w:p w:rsidR="007E6F46" w:rsidRDefault="005D3A6D" w:rsidP="00642DA9">
      <w:pPr>
        <w:pStyle w:val="Titre1"/>
      </w:pPr>
      <w:bookmarkStart w:id="37" w:name="_Toc6241702"/>
      <w:r w:rsidRPr="006D4E98">
        <w:t>Déplacements</w:t>
      </w:r>
      <w:bookmarkEnd w:id="37"/>
    </w:p>
    <w:p w:rsidR="007E6F46" w:rsidRDefault="007E6F46" w:rsidP="007E6F46">
      <w:pPr>
        <w:rPr>
          <w:rFonts w:ascii="Tahoma" w:hAnsi="Tahoma" w:cs="Tahoma"/>
        </w:rPr>
      </w:pPr>
      <w:r w:rsidRPr="007E6F46">
        <w:rPr>
          <w:rFonts w:ascii="Tahoma" w:hAnsi="Tahoma" w:cs="Tahoma"/>
        </w:rPr>
        <w:t>Indemnités et primes journalières forfaitaires de déplacement pour la France Opérations sur Sites - Barèmes 2018 applicables au 1er avril 2018</w:t>
      </w:r>
    </w:p>
    <w:p w:rsidR="003F337D" w:rsidRDefault="003F337D" w:rsidP="007E6F46">
      <w:pPr>
        <w:rPr>
          <w:rFonts w:ascii="Tahoma" w:hAnsi="Tahoma" w:cs="Tahoma"/>
        </w:rPr>
      </w:pPr>
      <w:r w:rsidRPr="003F337D">
        <w:rPr>
          <w:rFonts w:ascii="Tahoma" w:hAnsi="Tahoma" w:cs="Tahoma"/>
        </w:rPr>
        <w:t>100€ pour la chambre (120€ pour Paris &amp; banlieue, Lyon &amp; banlieue, Lille et Strasbourg)  • 15€ pour le petit déjeuner  • 30€ par repas</w:t>
      </w:r>
    </w:p>
    <w:tbl>
      <w:tblPr>
        <w:tblStyle w:val="Grilledutableau"/>
        <w:tblW w:w="0" w:type="auto"/>
        <w:jc w:val="center"/>
        <w:tblLook w:val="04A0" w:firstRow="1" w:lastRow="0" w:firstColumn="1" w:lastColumn="0" w:noHBand="0" w:noVBand="1"/>
      </w:tblPr>
      <w:tblGrid>
        <w:gridCol w:w="2818"/>
        <w:gridCol w:w="1463"/>
        <w:gridCol w:w="1956"/>
        <w:gridCol w:w="1134"/>
        <w:gridCol w:w="1103"/>
        <w:gridCol w:w="906"/>
        <w:gridCol w:w="1086"/>
      </w:tblGrid>
      <w:tr w:rsidR="00890DF1" w:rsidTr="00890DF1">
        <w:trPr>
          <w:jc w:val="center"/>
        </w:trPr>
        <w:tc>
          <w:tcPr>
            <w:tcW w:w="10466" w:type="dxa"/>
            <w:gridSpan w:val="7"/>
            <w:tcBorders>
              <w:top w:val="nil"/>
              <w:left w:val="nil"/>
              <w:bottom w:val="nil"/>
              <w:right w:val="nil"/>
            </w:tcBorders>
          </w:tcPr>
          <w:p w:rsidR="00890DF1" w:rsidRPr="00124FA8" w:rsidRDefault="00890DF1" w:rsidP="00642DA9">
            <w:pPr>
              <w:pStyle w:val="Titre1"/>
              <w:outlineLvl w:val="0"/>
              <w:rPr>
                <w:rStyle w:val="lev"/>
              </w:rPr>
            </w:pPr>
            <w:bookmarkStart w:id="38" w:name="_Toc6241703"/>
            <w:r w:rsidRPr="00124FA8">
              <w:rPr>
                <w:rStyle w:val="lev"/>
              </w:rPr>
              <w:t>Indemnités et primes journalières forfaitaires de déplacement pour la France Opérations sur Sites - Barèmes 2018 applicables au 1er avril 2018</w:t>
            </w:r>
            <w:bookmarkEnd w:id="38"/>
          </w:p>
        </w:tc>
      </w:tr>
      <w:tr w:rsidR="00890DF1" w:rsidTr="00890DF1">
        <w:trPr>
          <w:jc w:val="center"/>
        </w:trPr>
        <w:tc>
          <w:tcPr>
            <w:tcW w:w="2818" w:type="dxa"/>
            <w:vMerge w:val="restart"/>
            <w:tcBorders>
              <w:top w:val="nil"/>
            </w:tcBorders>
          </w:tcPr>
          <w:p w:rsidR="00890DF1" w:rsidRPr="00E572AB" w:rsidRDefault="00890DF1" w:rsidP="00033292">
            <w:pPr>
              <w:rPr>
                <w:rFonts w:ascii="Arial" w:eastAsia="Verdana" w:hAnsi="Arial" w:cs="Arial"/>
                <w:u w:color="000000"/>
              </w:rPr>
            </w:pPr>
            <w:r w:rsidRPr="00E572AB">
              <w:rPr>
                <w:rFonts w:ascii="Arial" w:eastAsia="Verdana" w:hAnsi="Arial" w:cs="Arial"/>
                <w:u w:color="000000"/>
              </w:rPr>
              <w:t>Indemnité de Petit Déplacement (frais de repas)</w:t>
            </w:r>
          </w:p>
          <w:p w:rsidR="00890DF1" w:rsidRPr="00E572AB" w:rsidRDefault="00890DF1" w:rsidP="00890DF1">
            <w:pPr>
              <w:rPr>
                <w:rFonts w:ascii="Arial" w:eastAsia="Verdana" w:hAnsi="Arial" w:cs="Arial"/>
                <w:u w:color="000000"/>
              </w:rPr>
            </w:pPr>
          </w:p>
        </w:tc>
        <w:tc>
          <w:tcPr>
            <w:tcW w:w="1463" w:type="dxa"/>
            <w:vMerge w:val="restart"/>
            <w:tcBorders>
              <w:top w:val="nil"/>
            </w:tcBorders>
          </w:tcPr>
          <w:p w:rsidR="00890DF1" w:rsidRPr="00E572AB" w:rsidRDefault="00890DF1" w:rsidP="00890DF1">
            <w:pPr>
              <w:rPr>
                <w:rFonts w:ascii="Arial" w:eastAsia="Verdana" w:hAnsi="Arial" w:cs="Arial"/>
                <w:u w:color="000000"/>
              </w:rPr>
            </w:pPr>
            <w:r w:rsidRPr="00E572AB">
              <w:rPr>
                <w:rFonts w:ascii="Arial" w:eastAsia="Verdana" w:hAnsi="Arial" w:cs="Arial"/>
                <w:u w:color="000000"/>
              </w:rPr>
              <w:t>Tous départements</w:t>
            </w:r>
          </w:p>
          <w:p w:rsidR="00890DF1" w:rsidRPr="00E572AB" w:rsidRDefault="00890DF1" w:rsidP="00124FA8">
            <w:pPr>
              <w:autoSpaceDE w:val="0"/>
              <w:autoSpaceDN w:val="0"/>
              <w:adjustRightInd w:val="0"/>
              <w:spacing w:before="0"/>
              <w:jc w:val="center"/>
              <w:rPr>
                <w:rFonts w:ascii="Calibri" w:hAnsi="Calibri" w:cs="Calibri"/>
                <w:color w:val="000000" w:themeColor="text1"/>
              </w:rPr>
            </w:pPr>
          </w:p>
        </w:tc>
        <w:tc>
          <w:tcPr>
            <w:tcW w:w="1956" w:type="dxa"/>
            <w:tcBorders>
              <w:top w:val="nil"/>
            </w:tcBorders>
          </w:tcPr>
          <w:p w:rsidR="00890DF1" w:rsidRPr="00E572AB" w:rsidRDefault="00890DF1" w:rsidP="00124FA8">
            <w:pPr>
              <w:autoSpaceDE w:val="0"/>
              <w:autoSpaceDN w:val="0"/>
              <w:adjustRightInd w:val="0"/>
              <w:spacing w:before="0"/>
              <w:jc w:val="center"/>
              <w:rPr>
                <w:rFonts w:ascii="Calibri" w:hAnsi="Calibri" w:cs="Calibri"/>
                <w:color w:val="000000" w:themeColor="text1"/>
              </w:rPr>
            </w:pPr>
            <w:r w:rsidRPr="00E572AB">
              <w:rPr>
                <w:rFonts w:ascii="Calibri" w:hAnsi="Calibri" w:cs="Calibri"/>
                <w:color w:val="000000" w:themeColor="text1"/>
              </w:rPr>
              <w:t>Barème Alstom (revalorisé à hauteur de l'AG)</w:t>
            </w:r>
          </w:p>
          <w:p w:rsidR="00890DF1" w:rsidRDefault="00890DF1" w:rsidP="00033292">
            <w:pPr>
              <w:autoSpaceDE w:val="0"/>
              <w:autoSpaceDN w:val="0"/>
              <w:adjustRightInd w:val="0"/>
              <w:spacing w:before="0"/>
              <w:rPr>
                <w:rFonts w:ascii="Tahoma" w:eastAsia="Verdana" w:hAnsi="Tahoma" w:cs="Tahoma"/>
                <w:b/>
                <w:color w:val="FF0000"/>
                <w:u w:val="single" w:color="000000"/>
              </w:rPr>
            </w:pPr>
          </w:p>
        </w:tc>
        <w:tc>
          <w:tcPr>
            <w:tcW w:w="1134" w:type="dxa"/>
            <w:vMerge w:val="restart"/>
            <w:tcBorders>
              <w:top w:val="nil"/>
            </w:tcBorders>
            <w:vAlign w:val="center"/>
          </w:tcPr>
          <w:p w:rsidR="00890DF1" w:rsidRDefault="00890DF1" w:rsidP="00890DF1">
            <w:pPr>
              <w:jc w:val="center"/>
              <w:rPr>
                <w:rFonts w:eastAsia="Verdana"/>
                <w:u w:color="000000"/>
              </w:rPr>
            </w:pPr>
            <w:r>
              <w:rPr>
                <w:rFonts w:eastAsia="Verdana"/>
                <w:u w:color="000000"/>
              </w:rPr>
              <w:t>37.43€</w:t>
            </w:r>
          </w:p>
        </w:tc>
        <w:tc>
          <w:tcPr>
            <w:tcW w:w="1103" w:type="dxa"/>
            <w:vMerge w:val="restart"/>
            <w:tcBorders>
              <w:top w:val="nil"/>
            </w:tcBorders>
            <w:vAlign w:val="center"/>
          </w:tcPr>
          <w:p w:rsidR="00890DF1" w:rsidRDefault="00890DF1" w:rsidP="00124FA8">
            <w:pPr>
              <w:jc w:val="center"/>
              <w:rPr>
                <w:rFonts w:ascii="Tahoma" w:eastAsia="Verdana" w:hAnsi="Tahoma" w:cs="Tahoma"/>
                <w:b/>
                <w:color w:val="FF0000"/>
                <w:u w:val="single" w:color="000000"/>
              </w:rPr>
            </w:pPr>
            <w:r>
              <w:rPr>
                <w:rFonts w:eastAsia="Verdana"/>
                <w:u w:color="000000"/>
              </w:rPr>
              <w:t>37.43€</w:t>
            </w:r>
          </w:p>
        </w:tc>
        <w:tc>
          <w:tcPr>
            <w:tcW w:w="906" w:type="dxa"/>
            <w:vMerge w:val="restart"/>
            <w:tcBorders>
              <w:top w:val="nil"/>
            </w:tcBorders>
            <w:vAlign w:val="center"/>
          </w:tcPr>
          <w:p w:rsidR="00890DF1" w:rsidRDefault="00890DF1" w:rsidP="00124FA8">
            <w:pPr>
              <w:jc w:val="center"/>
              <w:rPr>
                <w:rFonts w:ascii="Tahoma" w:eastAsia="Verdana" w:hAnsi="Tahoma" w:cs="Tahoma"/>
                <w:b/>
                <w:color w:val="FF0000"/>
                <w:u w:val="single" w:color="000000"/>
              </w:rPr>
            </w:pPr>
            <w:r>
              <w:rPr>
                <w:rFonts w:eastAsia="Verdana"/>
                <w:u w:color="000000"/>
              </w:rPr>
              <w:t>37.43€</w:t>
            </w:r>
          </w:p>
        </w:tc>
        <w:tc>
          <w:tcPr>
            <w:tcW w:w="1086" w:type="dxa"/>
            <w:vMerge w:val="restart"/>
            <w:tcBorders>
              <w:top w:val="nil"/>
            </w:tcBorders>
            <w:vAlign w:val="center"/>
          </w:tcPr>
          <w:p w:rsidR="00890DF1" w:rsidRDefault="00890DF1" w:rsidP="00124FA8">
            <w:pPr>
              <w:jc w:val="center"/>
              <w:rPr>
                <w:rFonts w:ascii="Tahoma" w:eastAsia="Verdana" w:hAnsi="Tahoma" w:cs="Tahoma"/>
                <w:b/>
                <w:color w:val="FF0000"/>
                <w:u w:val="single" w:color="000000"/>
              </w:rPr>
            </w:pPr>
            <w:r>
              <w:rPr>
                <w:rFonts w:eastAsia="Verdana"/>
                <w:u w:color="000000"/>
              </w:rPr>
              <w:t>37.43€</w:t>
            </w:r>
          </w:p>
        </w:tc>
      </w:tr>
      <w:tr w:rsidR="00890DF1" w:rsidTr="00890DF1">
        <w:trPr>
          <w:jc w:val="center"/>
        </w:trPr>
        <w:tc>
          <w:tcPr>
            <w:tcW w:w="2818" w:type="dxa"/>
            <w:vMerge/>
          </w:tcPr>
          <w:p w:rsidR="00890DF1" w:rsidRPr="00E572AB" w:rsidRDefault="00890DF1" w:rsidP="00890DF1">
            <w:pPr>
              <w:rPr>
                <w:rFonts w:ascii="Arial" w:eastAsia="Verdana" w:hAnsi="Arial" w:cs="Arial"/>
                <w:u w:color="000000"/>
              </w:rPr>
            </w:pPr>
          </w:p>
        </w:tc>
        <w:tc>
          <w:tcPr>
            <w:tcW w:w="1463" w:type="dxa"/>
            <w:vMerge/>
          </w:tcPr>
          <w:p w:rsidR="00890DF1" w:rsidRPr="00E572AB" w:rsidRDefault="00890DF1" w:rsidP="00642DA9">
            <w:pPr>
              <w:autoSpaceDE w:val="0"/>
              <w:autoSpaceDN w:val="0"/>
              <w:adjustRightInd w:val="0"/>
              <w:spacing w:before="0"/>
              <w:jc w:val="center"/>
              <w:rPr>
                <w:rFonts w:ascii="Calibri" w:hAnsi="Calibri" w:cs="Calibri"/>
                <w:color w:val="000000" w:themeColor="text1"/>
              </w:rPr>
            </w:pPr>
          </w:p>
        </w:tc>
        <w:tc>
          <w:tcPr>
            <w:tcW w:w="1956" w:type="dxa"/>
          </w:tcPr>
          <w:p w:rsidR="00890DF1" w:rsidRPr="00E572AB" w:rsidRDefault="00890DF1" w:rsidP="00642DA9">
            <w:pPr>
              <w:autoSpaceDE w:val="0"/>
              <w:autoSpaceDN w:val="0"/>
              <w:adjustRightInd w:val="0"/>
              <w:spacing w:before="0"/>
              <w:jc w:val="center"/>
              <w:rPr>
                <w:rFonts w:ascii="Calibri" w:hAnsi="Calibri" w:cs="Calibri"/>
                <w:color w:val="000000" w:themeColor="text1"/>
              </w:rPr>
            </w:pPr>
            <w:r w:rsidRPr="00E572AB">
              <w:rPr>
                <w:rFonts w:ascii="Calibri" w:hAnsi="Calibri" w:cs="Calibri"/>
                <w:color w:val="000000" w:themeColor="text1"/>
              </w:rPr>
              <w:t>Barème Alstom (revalorisé à hauteur de l'AG)</w:t>
            </w:r>
          </w:p>
          <w:p w:rsidR="00890DF1" w:rsidRPr="00E572AB" w:rsidRDefault="00890DF1" w:rsidP="00642DA9">
            <w:pPr>
              <w:tabs>
                <w:tab w:val="right" w:pos="16320"/>
              </w:tabs>
              <w:spacing w:after="47" w:line="259" w:lineRule="auto"/>
              <w:jc w:val="center"/>
              <w:rPr>
                <w:rFonts w:ascii="Tahoma" w:eastAsia="Verdana" w:hAnsi="Tahoma" w:cs="Tahoma"/>
                <w:b/>
                <w:color w:val="000000" w:themeColor="text1"/>
                <w:u w:val="single" w:color="000000"/>
              </w:rPr>
            </w:pPr>
          </w:p>
        </w:tc>
        <w:tc>
          <w:tcPr>
            <w:tcW w:w="1134" w:type="dxa"/>
            <w:vMerge/>
            <w:vAlign w:val="center"/>
          </w:tcPr>
          <w:p w:rsidR="00890DF1" w:rsidRPr="00E572AB" w:rsidRDefault="00890DF1" w:rsidP="00890DF1">
            <w:pPr>
              <w:jc w:val="center"/>
              <w:rPr>
                <w:rFonts w:ascii="Tahoma" w:eastAsia="Verdana" w:hAnsi="Tahoma" w:cs="Tahoma"/>
                <w:b/>
                <w:u w:val="single" w:color="000000"/>
              </w:rPr>
            </w:pPr>
          </w:p>
        </w:tc>
        <w:tc>
          <w:tcPr>
            <w:tcW w:w="1103" w:type="dxa"/>
            <w:vMerge/>
            <w:vAlign w:val="center"/>
          </w:tcPr>
          <w:p w:rsidR="00890DF1" w:rsidRPr="00E572AB" w:rsidRDefault="00890DF1" w:rsidP="00124FA8">
            <w:pPr>
              <w:jc w:val="center"/>
              <w:rPr>
                <w:rFonts w:ascii="Tahoma" w:eastAsia="Verdana" w:hAnsi="Tahoma" w:cs="Tahoma"/>
                <w:b/>
                <w:u w:val="single" w:color="000000"/>
              </w:rPr>
            </w:pPr>
          </w:p>
        </w:tc>
        <w:tc>
          <w:tcPr>
            <w:tcW w:w="906" w:type="dxa"/>
            <w:vMerge/>
            <w:vAlign w:val="center"/>
          </w:tcPr>
          <w:p w:rsidR="00890DF1" w:rsidRPr="00E572AB" w:rsidRDefault="00890DF1" w:rsidP="00124FA8">
            <w:pPr>
              <w:jc w:val="center"/>
              <w:rPr>
                <w:rFonts w:ascii="Tahoma" w:eastAsia="Verdana" w:hAnsi="Tahoma" w:cs="Tahoma"/>
                <w:b/>
                <w:u w:val="single" w:color="000000"/>
              </w:rPr>
            </w:pPr>
          </w:p>
        </w:tc>
        <w:tc>
          <w:tcPr>
            <w:tcW w:w="1086" w:type="dxa"/>
            <w:vMerge/>
            <w:vAlign w:val="center"/>
          </w:tcPr>
          <w:p w:rsidR="00890DF1" w:rsidRPr="00E572AB" w:rsidRDefault="00890DF1" w:rsidP="00124FA8">
            <w:pPr>
              <w:jc w:val="center"/>
              <w:rPr>
                <w:rFonts w:ascii="Tahoma" w:eastAsia="Verdana" w:hAnsi="Tahoma" w:cs="Tahoma"/>
                <w:b/>
                <w:u w:val="single" w:color="000000"/>
              </w:rPr>
            </w:pPr>
          </w:p>
        </w:tc>
      </w:tr>
      <w:tr w:rsidR="00890DF1" w:rsidTr="00890DF1">
        <w:trPr>
          <w:jc w:val="center"/>
        </w:trPr>
        <w:tc>
          <w:tcPr>
            <w:tcW w:w="2818" w:type="dxa"/>
            <w:vMerge w:val="restart"/>
          </w:tcPr>
          <w:p w:rsidR="00890DF1" w:rsidRPr="00E572AB" w:rsidRDefault="00890DF1" w:rsidP="00890DF1">
            <w:pPr>
              <w:rPr>
                <w:rFonts w:ascii="Arial" w:eastAsia="Verdana" w:hAnsi="Arial" w:cs="Arial"/>
                <w:u w:color="000000"/>
              </w:rPr>
            </w:pPr>
            <w:r w:rsidRPr="00E572AB">
              <w:rPr>
                <w:rFonts w:ascii="Arial" w:eastAsia="Verdana" w:hAnsi="Arial" w:cs="Arial"/>
                <w:u w:color="000000"/>
              </w:rPr>
              <w:t>Indemnité de Grands Déplacement (frais de repas + hôtel)</w:t>
            </w:r>
          </w:p>
          <w:p w:rsidR="00890DF1" w:rsidRPr="00E572AB" w:rsidRDefault="00890DF1" w:rsidP="00642DA9">
            <w:pPr>
              <w:rPr>
                <w:rFonts w:ascii="Arial" w:eastAsia="Verdana" w:hAnsi="Arial" w:cs="Arial"/>
                <w:u w:color="000000"/>
              </w:rPr>
            </w:pPr>
          </w:p>
        </w:tc>
        <w:tc>
          <w:tcPr>
            <w:tcW w:w="1463" w:type="dxa"/>
          </w:tcPr>
          <w:p w:rsidR="00890DF1" w:rsidRPr="00E572AB" w:rsidRDefault="00890DF1" w:rsidP="00890DF1">
            <w:pPr>
              <w:rPr>
                <w:rFonts w:ascii="Arial" w:eastAsia="Verdana" w:hAnsi="Arial" w:cs="Arial"/>
                <w:u w:color="000000"/>
              </w:rPr>
            </w:pPr>
            <w:r w:rsidRPr="00E572AB">
              <w:rPr>
                <w:rFonts w:ascii="Arial" w:eastAsia="Verdana" w:hAnsi="Arial" w:cs="Arial"/>
                <w:u w:color="000000"/>
              </w:rPr>
              <w:t>sur les dpts 75, 92, 93 et 94</w:t>
            </w:r>
          </w:p>
          <w:p w:rsidR="00890DF1" w:rsidRPr="00E572AB" w:rsidRDefault="00890DF1" w:rsidP="00642DA9">
            <w:pPr>
              <w:autoSpaceDE w:val="0"/>
              <w:autoSpaceDN w:val="0"/>
              <w:adjustRightInd w:val="0"/>
              <w:spacing w:before="0"/>
              <w:jc w:val="center"/>
              <w:rPr>
                <w:rFonts w:ascii="Calibri" w:hAnsi="Calibri" w:cs="Calibri"/>
                <w:color w:val="000000" w:themeColor="text1"/>
              </w:rPr>
            </w:pPr>
          </w:p>
        </w:tc>
        <w:tc>
          <w:tcPr>
            <w:tcW w:w="1956" w:type="dxa"/>
          </w:tcPr>
          <w:p w:rsidR="00890DF1" w:rsidRPr="00E572AB" w:rsidRDefault="00890DF1" w:rsidP="00890DF1">
            <w:pPr>
              <w:autoSpaceDE w:val="0"/>
              <w:autoSpaceDN w:val="0"/>
              <w:adjustRightInd w:val="0"/>
              <w:spacing w:before="0"/>
              <w:jc w:val="center"/>
              <w:rPr>
                <w:rFonts w:ascii="Calibri" w:hAnsi="Calibri" w:cs="Calibri"/>
                <w:color w:val="000000" w:themeColor="text1"/>
              </w:rPr>
            </w:pPr>
            <w:r w:rsidRPr="00E572AB">
              <w:rPr>
                <w:rFonts w:ascii="Calibri" w:hAnsi="Calibri" w:cs="Calibri"/>
                <w:color w:val="000000" w:themeColor="text1"/>
              </w:rPr>
              <w:t>Barème Alstom (revalorisé à hauteur de l'AG)</w:t>
            </w:r>
          </w:p>
          <w:p w:rsidR="00890DF1" w:rsidRPr="00E572AB" w:rsidRDefault="00890DF1" w:rsidP="00642DA9">
            <w:pPr>
              <w:autoSpaceDE w:val="0"/>
              <w:autoSpaceDN w:val="0"/>
              <w:adjustRightInd w:val="0"/>
              <w:spacing w:before="0"/>
              <w:jc w:val="center"/>
              <w:rPr>
                <w:rFonts w:ascii="Calibri" w:hAnsi="Calibri" w:cs="Calibri"/>
                <w:color w:val="000000" w:themeColor="text1"/>
              </w:rPr>
            </w:pPr>
          </w:p>
        </w:tc>
        <w:tc>
          <w:tcPr>
            <w:tcW w:w="1134" w:type="dxa"/>
            <w:vMerge w:val="restart"/>
            <w:vAlign w:val="center"/>
          </w:tcPr>
          <w:p w:rsidR="00890DF1" w:rsidRPr="00E572AB" w:rsidRDefault="00890DF1" w:rsidP="00124FA8">
            <w:pPr>
              <w:jc w:val="center"/>
            </w:pPr>
            <w:r w:rsidRPr="00E572AB">
              <w:t>93,55 €</w:t>
            </w:r>
          </w:p>
        </w:tc>
        <w:tc>
          <w:tcPr>
            <w:tcW w:w="1103" w:type="dxa"/>
            <w:vMerge w:val="restart"/>
            <w:vAlign w:val="center"/>
          </w:tcPr>
          <w:p w:rsidR="00890DF1" w:rsidRPr="00E572AB" w:rsidRDefault="00890DF1" w:rsidP="00124FA8">
            <w:pPr>
              <w:jc w:val="center"/>
            </w:pPr>
            <w:r w:rsidRPr="00E572AB">
              <w:t>93,55 €</w:t>
            </w:r>
          </w:p>
        </w:tc>
        <w:tc>
          <w:tcPr>
            <w:tcW w:w="906" w:type="dxa"/>
            <w:vMerge w:val="restart"/>
            <w:vAlign w:val="center"/>
          </w:tcPr>
          <w:p w:rsidR="00890DF1" w:rsidRPr="00E572AB" w:rsidRDefault="00890DF1" w:rsidP="00124FA8">
            <w:pPr>
              <w:jc w:val="center"/>
            </w:pPr>
            <w:r w:rsidRPr="00E572AB">
              <w:t>85,24 €</w:t>
            </w:r>
          </w:p>
        </w:tc>
        <w:tc>
          <w:tcPr>
            <w:tcW w:w="1086" w:type="dxa"/>
            <w:vMerge w:val="restart"/>
            <w:vAlign w:val="center"/>
          </w:tcPr>
          <w:p w:rsidR="00890DF1" w:rsidRPr="00E572AB" w:rsidRDefault="00890DF1" w:rsidP="00124FA8">
            <w:pPr>
              <w:jc w:val="center"/>
            </w:pPr>
            <w:r w:rsidRPr="00E572AB">
              <w:t>85,24 €</w:t>
            </w:r>
          </w:p>
        </w:tc>
      </w:tr>
      <w:tr w:rsidR="00890DF1" w:rsidTr="00890DF1">
        <w:trPr>
          <w:jc w:val="center"/>
        </w:trPr>
        <w:tc>
          <w:tcPr>
            <w:tcW w:w="2818" w:type="dxa"/>
            <w:vMerge/>
          </w:tcPr>
          <w:p w:rsidR="00890DF1" w:rsidRPr="00E572AB" w:rsidRDefault="00890DF1" w:rsidP="00642DA9">
            <w:pPr>
              <w:rPr>
                <w:rFonts w:ascii="Arial" w:eastAsia="Verdana" w:hAnsi="Arial" w:cs="Arial"/>
                <w:u w:color="000000"/>
              </w:rPr>
            </w:pPr>
          </w:p>
        </w:tc>
        <w:tc>
          <w:tcPr>
            <w:tcW w:w="1463" w:type="dxa"/>
          </w:tcPr>
          <w:p w:rsidR="00890DF1" w:rsidRPr="00E572AB" w:rsidRDefault="00890DF1" w:rsidP="00890DF1">
            <w:pPr>
              <w:rPr>
                <w:rFonts w:ascii="Arial" w:eastAsia="Verdana" w:hAnsi="Arial" w:cs="Arial"/>
                <w:u w:color="000000"/>
              </w:rPr>
            </w:pPr>
            <w:r w:rsidRPr="00E572AB">
              <w:rPr>
                <w:rFonts w:ascii="Arial" w:eastAsia="Verdana" w:hAnsi="Arial" w:cs="Arial"/>
                <w:u w:color="000000"/>
              </w:rPr>
              <w:t>sur les autres départements</w:t>
            </w:r>
          </w:p>
          <w:p w:rsidR="00890DF1" w:rsidRPr="00E572AB" w:rsidRDefault="00890DF1" w:rsidP="00642DA9">
            <w:pPr>
              <w:autoSpaceDE w:val="0"/>
              <w:autoSpaceDN w:val="0"/>
              <w:adjustRightInd w:val="0"/>
              <w:spacing w:before="0"/>
              <w:jc w:val="center"/>
              <w:rPr>
                <w:rFonts w:ascii="Calibri" w:hAnsi="Calibri" w:cs="Calibri"/>
                <w:color w:val="000000" w:themeColor="text1"/>
              </w:rPr>
            </w:pPr>
          </w:p>
        </w:tc>
        <w:tc>
          <w:tcPr>
            <w:tcW w:w="1956" w:type="dxa"/>
          </w:tcPr>
          <w:p w:rsidR="00890DF1" w:rsidRPr="00E572AB" w:rsidRDefault="00890DF1" w:rsidP="00890DF1">
            <w:pPr>
              <w:autoSpaceDE w:val="0"/>
              <w:autoSpaceDN w:val="0"/>
              <w:adjustRightInd w:val="0"/>
              <w:spacing w:before="0"/>
              <w:jc w:val="center"/>
              <w:rPr>
                <w:rFonts w:ascii="Calibri" w:hAnsi="Calibri" w:cs="Calibri"/>
                <w:color w:val="000000" w:themeColor="text1"/>
              </w:rPr>
            </w:pPr>
            <w:r w:rsidRPr="00E572AB">
              <w:rPr>
                <w:rFonts w:ascii="Calibri" w:hAnsi="Calibri" w:cs="Calibri"/>
                <w:color w:val="000000" w:themeColor="text1"/>
              </w:rPr>
              <w:t>Barème Alstom (revalorisé à hauteur de l'AG)</w:t>
            </w:r>
          </w:p>
          <w:p w:rsidR="00890DF1" w:rsidRPr="00E572AB" w:rsidRDefault="00890DF1" w:rsidP="00642DA9">
            <w:pPr>
              <w:autoSpaceDE w:val="0"/>
              <w:autoSpaceDN w:val="0"/>
              <w:adjustRightInd w:val="0"/>
              <w:spacing w:before="0"/>
              <w:jc w:val="center"/>
              <w:rPr>
                <w:rFonts w:ascii="Calibri" w:hAnsi="Calibri" w:cs="Calibri"/>
                <w:color w:val="000000" w:themeColor="text1"/>
              </w:rPr>
            </w:pPr>
          </w:p>
        </w:tc>
        <w:tc>
          <w:tcPr>
            <w:tcW w:w="1134" w:type="dxa"/>
            <w:vMerge/>
          </w:tcPr>
          <w:p w:rsidR="00890DF1" w:rsidRPr="00E572AB" w:rsidRDefault="00890DF1" w:rsidP="00124FA8">
            <w:pPr>
              <w:jc w:val="center"/>
            </w:pPr>
          </w:p>
        </w:tc>
        <w:tc>
          <w:tcPr>
            <w:tcW w:w="1103" w:type="dxa"/>
            <w:vMerge/>
          </w:tcPr>
          <w:p w:rsidR="00890DF1" w:rsidRPr="00E572AB" w:rsidRDefault="00890DF1" w:rsidP="00124FA8">
            <w:pPr>
              <w:jc w:val="center"/>
            </w:pPr>
          </w:p>
        </w:tc>
        <w:tc>
          <w:tcPr>
            <w:tcW w:w="906" w:type="dxa"/>
            <w:vMerge/>
          </w:tcPr>
          <w:p w:rsidR="00890DF1" w:rsidRPr="00E572AB" w:rsidRDefault="00890DF1" w:rsidP="00124FA8">
            <w:pPr>
              <w:jc w:val="center"/>
            </w:pPr>
          </w:p>
        </w:tc>
        <w:tc>
          <w:tcPr>
            <w:tcW w:w="1086" w:type="dxa"/>
            <w:vMerge/>
          </w:tcPr>
          <w:p w:rsidR="00890DF1" w:rsidRPr="00E572AB" w:rsidRDefault="00890DF1" w:rsidP="00124FA8">
            <w:pPr>
              <w:jc w:val="center"/>
            </w:pPr>
          </w:p>
        </w:tc>
      </w:tr>
    </w:tbl>
    <w:p w:rsidR="007E6F46" w:rsidRDefault="007E6F46" w:rsidP="007E6F46">
      <w:pPr>
        <w:rPr>
          <w:rFonts w:ascii="Tahoma" w:hAnsi="Tahoma" w:cs="Tahoma"/>
        </w:rPr>
      </w:pPr>
    </w:p>
    <w:p w:rsidR="00E26E51" w:rsidRDefault="00E26E51" w:rsidP="00642DA9">
      <w:pPr>
        <w:pStyle w:val="Titre5"/>
      </w:pPr>
      <w:r>
        <w:t>Transfert de Technologie MTCE</w:t>
      </w:r>
    </w:p>
    <w:p w:rsidR="00E26E51" w:rsidRDefault="00E26E51" w:rsidP="00E26E51">
      <w:pPr>
        <w:spacing w:before="0" w:after="0"/>
        <w:rPr>
          <w:rFonts w:ascii="Tahoma" w:hAnsi="Tahoma" w:cs="Tahoma"/>
        </w:rPr>
      </w:pPr>
      <w:r w:rsidRPr="00E26E51">
        <w:rPr>
          <w:rFonts w:ascii="Tahoma" w:hAnsi="Tahoma" w:cs="Tahoma"/>
        </w:rPr>
        <w:t xml:space="preserve">Afin d’inciter les salariés à partir en mission et de tenir compte des conditions particulières, une indemnité appelée « Prime MTCE » basée en pourcentage du salaire journalier (SJ) (salaire journalier de base + prime d’ancienneté), est versée pour chaque journée d’intervention.  Elle comprend : </w:t>
      </w:r>
    </w:p>
    <w:p w:rsidR="00E26E51" w:rsidRPr="00124FA8" w:rsidRDefault="00E26E51" w:rsidP="00124FA8">
      <w:pPr>
        <w:pStyle w:val="Paragraphedeliste"/>
        <w:numPr>
          <w:ilvl w:val="0"/>
          <w:numId w:val="25"/>
        </w:numPr>
        <w:spacing w:before="0" w:after="0"/>
        <w:rPr>
          <w:rFonts w:ascii="Tahoma" w:hAnsi="Tahoma" w:cs="Tahoma"/>
        </w:rPr>
      </w:pPr>
      <w:r w:rsidRPr="00124FA8">
        <w:rPr>
          <w:rFonts w:ascii="Tahoma" w:hAnsi="Tahoma" w:cs="Tahoma"/>
        </w:rPr>
        <w:t xml:space="preserve">une indemnité de base de 15% du SJ </w:t>
      </w:r>
    </w:p>
    <w:p w:rsidR="00E26E51" w:rsidRPr="00124FA8" w:rsidRDefault="00E26E51" w:rsidP="00124FA8">
      <w:pPr>
        <w:pStyle w:val="Paragraphedeliste"/>
        <w:numPr>
          <w:ilvl w:val="0"/>
          <w:numId w:val="21"/>
        </w:numPr>
        <w:spacing w:before="0" w:after="0"/>
        <w:rPr>
          <w:rFonts w:ascii="Tahoma" w:hAnsi="Tahoma" w:cs="Tahoma"/>
        </w:rPr>
      </w:pPr>
      <w:r w:rsidRPr="00124FA8">
        <w:rPr>
          <w:rFonts w:ascii="Tahoma" w:hAnsi="Tahoma" w:cs="Tahoma"/>
        </w:rPr>
        <w:lastRenderedPageBreak/>
        <w:t xml:space="preserve">des majorations cumulables en pourcentage du SJ, variables en fonction de la situation personnelle du salarié et du lieu de la mission : </w:t>
      </w:r>
    </w:p>
    <w:p w:rsidR="00E26E51" w:rsidRPr="00124FA8" w:rsidRDefault="00E26E51" w:rsidP="00124FA8">
      <w:pPr>
        <w:pStyle w:val="Paragraphedeliste"/>
        <w:numPr>
          <w:ilvl w:val="2"/>
          <w:numId w:val="7"/>
        </w:numPr>
        <w:spacing w:before="0" w:after="0"/>
        <w:rPr>
          <w:rFonts w:ascii="Tahoma" w:hAnsi="Tahoma" w:cs="Tahoma"/>
        </w:rPr>
      </w:pPr>
      <w:r w:rsidRPr="00124FA8">
        <w:rPr>
          <w:rFonts w:ascii="Tahoma" w:hAnsi="Tahoma" w:cs="Tahoma"/>
        </w:rPr>
        <w:t xml:space="preserve">une indemnité de séparation familiale, applicable pour toute mission supérieure ou égale à 1 mois, aux salariés en couple et/ou avec enfant : +5% du SJ </w:t>
      </w:r>
    </w:p>
    <w:p w:rsidR="00E26E51" w:rsidRPr="00124FA8" w:rsidRDefault="00E26E51" w:rsidP="00124FA8">
      <w:pPr>
        <w:pStyle w:val="Paragraphedeliste"/>
        <w:numPr>
          <w:ilvl w:val="2"/>
          <w:numId w:val="7"/>
        </w:numPr>
        <w:spacing w:before="0" w:after="0"/>
        <w:rPr>
          <w:rFonts w:ascii="Tahoma" w:hAnsi="Tahoma" w:cs="Tahoma"/>
        </w:rPr>
      </w:pPr>
      <w:r w:rsidRPr="00124FA8">
        <w:rPr>
          <w:rFonts w:ascii="Tahoma" w:hAnsi="Tahoma" w:cs="Tahoma"/>
        </w:rPr>
        <w:t>une indemnité de niveau de vie : % du SJ, défini par ALEC, par jour de mission.</w:t>
      </w:r>
    </w:p>
    <w:p w:rsidR="00E26E51" w:rsidRPr="007E6F46" w:rsidRDefault="00E26E51" w:rsidP="007E6F46">
      <w:pPr>
        <w:rPr>
          <w:rFonts w:ascii="Tahoma" w:hAnsi="Tahoma" w:cs="Tahoma"/>
        </w:rPr>
      </w:pPr>
    </w:p>
    <w:p w:rsidR="005D3A6D" w:rsidRPr="005E7F8B" w:rsidRDefault="005D3A6D" w:rsidP="005D3A6D">
      <w:pPr>
        <w:ind w:left="10" w:hanging="10"/>
        <w:rPr>
          <w:rFonts w:ascii="Tahoma" w:hAnsi="Tahoma" w:cs="Tahoma"/>
        </w:rPr>
      </w:pPr>
      <w:r w:rsidRPr="005E7F8B">
        <w:rPr>
          <w:rFonts w:ascii="Tahoma" w:hAnsi="Tahoma" w:cs="Tahoma"/>
          <w:noProof/>
        </w:rPr>
        <w:drawing>
          <wp:inline distT="0" distB="0" distL="0" distR="0" wp14:anchorId="55A4388E" wp14:editId="181A8BDC">
            <wp:extent cx="139065" cy="69850"/>
            <wp:effectExtent l="0" t="0" r="0" b="6350"/>
            <wp:docPr id="18" name="Image 18" descr="http://www.elnet.fr/documentation/hulkStatic/EL/sharp_TRANSVERSE/www/html/icons/carreGDP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lnet.fr/documentation/hulkStatic/EL/sharp_TRANSVERSE/www/html/icons/carreGDP1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 cy="69850"/>
                    </a:xfrm>
                    <a:prstGeom prst="rect">
                      <a:avLst/>
                    </a:prstGeom>
                    <a:noFill/>
                    <a:ln>
                      <a:noFill/>
                    </a:ln>
                  </pic:spPr>
                </pic:pic>
              </a:graphicData>
            </a:graphic>
          </wp:inline>
        </w:drawing>
      </w:r>
      <w:r w:rsidRPr="005E7F8B">
        <w:rPr>
          <w:rFonts w:ascii="Tahoma" w:hAnsi="Tahoma" w:cs="Tahoma"/>
          <w:b/>
          <w:bCs/>
          <w:color w:val="666699"/>
          <w:shd w:val="clear" w:color="auto" w:fill="FFFFFF"/>
        </w:rPr>
        <w:t>  </w:t>
      </w:r>
      <w:r w:rsidRPr="005E7F8B">
        <w:rPr>
          <w:rFonts w:ascii="Tahoma" w:hAnsi="Tahoma" w:cs="Tahoma"/>
          <w:shd w:val="clear" w:color="auto" w:fill="FFFFFF"/>
        </w:rPr>
        <w:t>Application de l'accord national relatif aux conditions de déplacements [v. la synthèse </w:t>
      </w:r>
      <w:hyperlink r:id="rId40" w:history="1">
        <w:r w:rsidRPr="005E7F8B">
          <w:rPr>
            <w:rFonts w:ascii="Tahoma" w:hAnsi="Tahoma" w:cs="Tahoma"/>
            <w:color w:val="000000" w:themeColor="text1"/>
            <w:shd w:val="clear" w:color="auto" w:fill="FFFFFF"/>
          </w:rPr>
          <w:t>«</w:t>
        </w:r>
        <w:r w:rsidRPr="005E7F8B">
          <w:rPr>
            <w:rFonts w:ascii="Tahoma" w:hAnsi="Tahoma" w:cs="Tahoma"/>
            <w:color w:val="000000" w:themeColor="text1"/>
            <w:u w:val="single"/>
            <w:shd w:val="clear" w:color="auto" w:fill="FFFFFF"/>
          </w:rPr>
          <w:t>Métallurgie : accords nationaux (ouvriers, ETAM, ingénieurs et cadres</w:t>
        </w:r>
        <w:r w:rsidRPr="005E7F8B">
          <w:rPr>
            <w:rFonts w:ascii="Tahoma" w:hAnsi="Tahoma" w:cs="Tahoma"/>
            <w:color w:val="000000" w:themeColor="text1"/>
            <w:shd w:val="clear" w:color="auto" w:fill="FFFFFF"/>
          </w:rPr>
          <w:t>) »</w:t>
        </w:r>
      </w:hyperlink>
      <w:r w:rsidRPr="005E7F8B">
        <w:rPr>
          <w:rFonts w:ascii="Tahoma" w:hAnsi="Tahoma" w:cs="Tahoma"/>
          <w:color w:val="000000" w:themeColor="text1"/>
          <w:shd w:val="clear" w:color="auto" w:fill="FFFFFF"/>
        </w:rPr>
        <w:t xml:space="preserve"> ]. Des Barèmes URSAFF sont appliqués et la NAO sur site OBT de 2013 ajoute un forfait Week-end de 200€ </w:t>
      </w:r>
    </w:p>
    <w:p w:rsidR="005D3A6D" w:rsidRPr="004C3153" w:rsidRDefault="005D3A6D" w:rsidP="00124FA8">
      <w:pPr>
        <w:spacing w:before="0" w:after="29" w:line="240" w:lineRule="auto"/>
        <w:ind w:right="83"/>
        <w:rPr>
          <w:rStyle w:val="Accentuationlgre"/>
        </w:rPr>
      </w:pPr>
      <w:r w:rsidRPr="004C3153">
        <w:rPr>
          <w:rStyle w:val="Accentuationlgre"/>
        </w:rPr>
        <w:t xml:space="preserve">L’indemnité de séjour ne pourra être inférieure par journée complète à 13 fois le minimum garanti légal. Elle se décompose en tant que de besoin comme suit : </w:t>
      </w:r>
    </w:p>
    <w:p w:rsidR="005D3A6D" w:rsidRPr="004C3153" w:rsidRDefault="005D3A6D" w:rsidP="004C3153">
      <w:pPr>
        <w:spacing w:before="0" w:after="29" w:line="240" w:lineRule="auto"/>
        <w:ind w:left="1416" w:right="83"/>
        <w:rPr>
          <w:rStyle w:val="Accentuationlgre"/>
        </w:rPr>
      </w:pPr>
      <w:r w:rsidRPr="004C3153">
        <w:rPr>
          <w:rStyle w:val="Accentuationlgre"/>
        </w:rPr>
        <w:t xml:space="preserve">– indemnité de logement : 5 fois le minimum garanti légal ; </w:t>
      </w:r>
    </w:p>
    <w:p w:rsidR="005D3A6D" w:rsidRPr="004C3153" w:rsidRDefault="005D3A6D" w:rsidP="004C3153">
      <w:pPr>
        <w:spacing w:before="0" w:after="29" w:line="240" w:lineRule="auto"/>
        <w:ind w:left="1416" w:right="83"/>
        <w:rPr>
          <w:rStyle w:val="Accentuationlgre"/>
        </w:rPr>
      </w:pPr>
      <w:r w:rsidRPr="004C3153">
        <w:rPr>
          <w:rStyle w:val="Accentuationlgre"/>
        </w:rPr>
        <w:t xml:space="preserve">– indemnité de repas : 2,50 fois le minimum garanti légal ; </w:t>
      </w:r>
    </w:p>
    <w:p w:rsidR="005D3A6D" w:rsidRPr="004C3153" w:rsidRDefault="005D3A6D" w:rsidP="004C3153">
      <w:pPr>
        <w:spacing w:before="0" w:after="29" w:line="240" w:lineRule="auto"/>
        <w:ind w:left="1416" w:right="83"/>
        <w:rPr>
          <w:rStyle w:val="Accentuationlgre"/>
        </w:rPr>
      </w:pPr>
      <w:r w:rsidRPr="004C3153">
        <w:rPr>
          <w:rStyle w:val="Accentuationlgre"/>
        </w:rPr>
        <w:t xml:space="preserve">– indemnité de petit-déjeuner : 1 fois le minimum garanti légal ; </w:t>
      </w:r>
    </w:p>
    <w:p w:rsidR="005D3A6D" w:rsidRPr="004C3153" w:rsidRDefault="005D3A6D" w:rsidP="004C3153">
      <w:pPr>
        <w:spacing w:before="0" w:after="29" w:line="240" w:lineRule="auto"/>
        <w:ind w:left="1416" w:right="83"/>
        <w:rPr>
          <w:rStyle w:val="Accentuationlgre"/>
        </w:rPr>
      </w:pPr>
      <w:r w:rsidRPr="004C3153">
        <w:rPr>
          <w:rStyle w:val="Accentuationlgre"/>
        </w:rPr>
        <w:t>– indemnité pour frais inhérents à la condition d’éloignement : 2 fois le minimum garanti légal.</w:t>
      </w:r>
    </w:p>
    <w:p w:rsidR="005D3A6D" w:rsidRPr="004C3153" w:rsidRDefault="005D3A6D" w:rsidP="00124FA8">
      <w:pPr>
        <w:spacing w:before="0" w:after="29" w:line="240" w:lineRule="auto"/>
        <w:ind w:right="83"/>
        <w:rPr>
          <w:rStyle w:val="Accentuationlgre"/>
        </w:rPr>
      </w:pPr>
      <w:r w:rsidRPr="004C3153">
        <w:rPr>
          <w:rStyle w:val="Accentuationlgre"/>
        </w:rPr>
        <w:t xml:space="preserve">La part d’indemnité spécifique pour frais inhérents à la condition d’éloignement, fixée ci-dessus à 2 fois le minimum garanti légal, reste due intégralement dans le cas de journée incomplète par suite de départ ou de retour en cours de journée. </w:t>
      </w:r>
    </w:p>
    <w:p w:rsidR="005D3A6D" w:rsidRPr="004C3153" w:rsidRDefault="005D3A6D" w:rsidP="00124FA8">
      <w:pPr>
        <w:spacing w:before="0" w:after="29" w:line="240" w:lineRule="auto"/>
        <w:ind w:right="83"/>
        <w:jc w:val="right"/>
        <w:rPr>
          <w:rStyle w:val="Accentuationlgre"/>
        </w:rPr>
      </w:pPr>
      <w:r w:rsidRPr="004C3153">
        <w:rPr>
          <w:rStyle w:val="Accentuationlgre"/>
        </w:rPr>
        <w:t>Pour connaître les Frais de mission lié au Pays dirigé vous sur le site du ministère « www.economie.gouv.fr/dgfip/mission_taux_chancellerie/frais »</w:t>
      </w:r>
    </w:p>
    <w:p w:rsidR="00890DF1" w:rsidRPr="004C3153" w:rsidRDefault="00890DF1" w:rsidP="00124FA8">
      <w:pPr>
        <w:spacing w:before="0" w:after="29" w:line="240" w:lineRule="auto"/>
        <w:ind w:right="83"/>
        <w:rPr>
          <w:rStyle w:val="Accentuationlgre"/>
        </w:rPr>
      </w:pPr>
    </w:p>
    <w:p w:rsidR="00890DF1" w:rsidRPr="004C3153" w:rsidRDefault="00890DF1" w:rsidP="00124FA8">
      <w:pPr>
        <w:spacing w:before="0" w:after="29" w:line="240" w:lineRule="auto"/>
        <w:ind w:right="83"/>
        <w:rPr>
          <w:rStyle w:val="Accentuationlgre"/>
        </w:rPr>
      </w:pPr>
    </w:p>
    <w:p w:rsidR="005D3A6D" w:rsidRPr="004C3153" w:rsidRDefault="005D3A6D" w:rsidP="00F32250">
      <w:pPr>
        <w:spacing w:after="29" w:line="240" w:lineRule="auto"/>
        <w:ind w:right="83"/>
        <w:rPr>
          <w:rStyle w:val="Accentuationlgre"/>
        </w:rPr>
      </w:pPr>
      <w:r w:rsidRPr="004C3153">
        <w:rPr>
          <w:rStyle w:val="Accentuationlgre"/>
        </w:rPr>
        <w:t xml:space="preserve">Le barème ci-dessus sera majoré de 10 % dans les trois cas suivants, sans possibilité de cumul entre eux : </w:t>
      </w:r>
    </w:p>
    <w:p w:rsidR="00F32250" w:rsidRPr="004C3153" w:rsidRDefault="005D3A6D" w:rsidP="00124FA8">
      <w:pPr>
        <w:spacing w:before="0" w:after="29" w:line="240" w:lineRule="auto"/>
        <w:ind w:right="83"/>
        <w:rPr>
          <w:rStyle w:val="Accentuationlgre"/>
        </w:rPr>
      </w:pPr>
      <w:r w:rsidRPr="004C3153">
        <w:rPr>
          <w:rStyle w:val="Accentuationlgre"/>
        </w:rPr>
        <w:t xml:space="preserve">a) Pendant les deux premières semaines de tout grand déplacement ; </w:t>
      </w:r>
    </w:p>
    <w:p w:rsidR="005D3A6D" w:rsidRPr="004C3153" w:rsidRDefault="005D3A6D" w:rsidP="00F32250">
      <w:pPr>
        <w:spacing w:before="0" w:after="0" w:line="240" w:lineRule="auto"/>
        <w:ind w:right="83"/>
        <w:rPr>
          <w:rStyle w:val="Accentuationlgre"/>
        </w:rPr>
      </w:pPr>
      <w:r w:rsidRPr="004C3153">
        <w:rPr>
          <w:rStyle w:val="Accentuationlgre"/>
        </w:rPr>
        <w:t xml:space="preserve">b) Pour tout grand déplacement dans toute ville de 100 000 habitants et plus, ou dans toute agglomération groupant sur une seule commune ou sur une commune et ses communes limitrophes 100 000 habitants et plus ; </w:t>
      </w:r>
    </w:p>
    <w:p w:rsidR="005D3A6D" w:rsidRPr="004C3153" w:rsidRDefault="005D3A6D" w:rsidP="00F32250">
      <w:pPr>
        <w:spacing w:before="0" w:after="0"/>
        <w:ind w:right="83"/>
        <w:rPr>
          <w:rStyle w:val="Accentuationlgre"/>
        </w:rPr>
      </w:pPr>
      <w:r w:rsidRPr="004C3153">
        <w:rPr>
          <w:rStyle w:val="Accentuationlgre"/>
        </w:rPr>
        <w:t>c) Pour tout grand déplacement dans toute ville où, en raison de son caractère touristique, balnéaire, climatique, de sports d’hiver, de foire et d’exposition nationales ou internationales, le coût des hôtels et restaurants subit une pointe saisonnière pendant la période incluant le déplacement.</w:t>
      </w:r>
    </w:p>
    <w:p w:rsidR="005D3A6D" w:rsidRPr="004C3153" w:rsidRDefault="005D3A6D" w:rsidP="004C3153">
      <w:pPr>
        <w:spacing w:before="0" w:after="0"/>
        <w:ind w:left="1416" w:right="83"/>
        <w:rPr>
          <w:rStyle w:val="Accentuationlgre"/>
        </w:rPr>
      </w:pPr>
      <w:r w:rsidRPr="004C3153">
        <w:rPr>
          <w:rStyle w:val="Accentuationlgre"/>
        </w:rPr>
        <w:t>– 10 premières semaines : 100 %.</w:t>
      </w:r>
    </w:p>
    <w:p w:rsidR="005D3A6D" w:rsidRPr="004C3153" w:rsidRDefault="005D3A6D" w:rsidP="004C3153">
      <w:pPr>
        <w:spacing w:before="0" w:after="0"/>
        <w:ind w:left="1416" w:right="83"/>
        <w:rPr>
          <w:rStyle w:val="Accentuationlgre"/>
        </w:rPr>
      </w:pPr>
      <w:r w:rsidRPr="004C3153">
        <w:rPr>
          <w:rStyle w:val="Accentuationlgre"/>
        </w:rPr>
        <w:t>– Au-delà de la 10e semaine : 90 %.</w:t>
      </w:r>
    </w:p>
    <w:p w:rsidR="005D3A6D" w:rsidRPr="004C3153" w:rsidRDefault="005D3A6D" w:rsidP="00F32250">
      <w:pPr>
        <w:spacing w:after="29"/>
        <w:ind w:right="83"/>
        <w:rPr>
          <w:rStyle w:val="Accentuationlgre"/>
        </w:rPr>
      </w:pPr>
      <w:r w:rsidRPr="004C3153">
        <w:rPr>
          <w:rStyle w:val="Accentuationlgre"/>
        </w:rPr>
        <w:t>(Accord Nationaux de la Métallurgie sur les conditions de déplacement)</w:t>
      </w:r>
    </w:p>
    <w:p w:rsidR="005D3A6D" w:rsidRPr="005E7F8B" w:rsidRDefault="005D3A6D" w:rsidP="00F32250">
      <w:pPr>
        <w:pStyle w:val="Titre5"/>
      </w:pPr>
      <w:r w:rsidRPr="005E7F8B">
        <w:t>Déplacements à l’étranger</w:t>
      </w:r>
    </w:p>
    <w:p w:rsidR="005D3A6D" w:rsidRDefault="005D3A6D" w:rsidP="00713906">
      <w:pPr>
        <w:pStyle w:val="NormalWeb"/>
        <w:rPr>
          <w:rFonts w:ascii="Tahoma" w:hAnsi="Tahoma" w:cs="Tahoma"/>
          <w:sz w:val="20"/>
          <w:szCs w:val="20"/>
        </w:rPr>
      </w:pPr>
      <w:r w:rsidRPr="00CD677D">
        <w:rPr>
          <w:rFonts w:ascii="Tahoma" w:hAnsi="Tahoma" w:cs="Tahoma"/>
          <w:sz w:val="20"/>
          <w:szCs w:val="20"/>
        </w:rPr>
        <w:t>Les limites d’exonérations des indemnités de grand déplacement hors métropole sont fixées par référence aux indemnités journalières de mission allouées aux personnels civils et personnels effectuant une mission à l’étranger.</w:t>
      </w:r>
    </w:p>
    <w:p w:rsidR="00F32250" w:rsidRDefault="00F32250" w:rsidP="00F32250">
      <w:pPr>
        <w:spacing w:after="29"/>
        <w:ind w:right="83"/>
        <w:rPr>
          <w:rFonts w:ascii="Tahoma" w:hAnsi="Tahoma" w:cs="Tahoma"/>
          <w:szCs w:val="22"/>
        </w:rPr>
      </w:pPr>
      <w:r w:rsidRPr="00EA0C9B">
        <w:rPr>
          <w:rFonts w:ascii="Tahoma" w:hAnsi="Tahoma" w:cs="Tahoma"/>
          <w:szCs w:val="22"/>
        </w:rPr>
        <w:t xml:space="preserve">Le congé exceptionnel prévu de la convention collective en cas de décès du conjoint ou d’un enfant du salarié ou de son conjoint, ouvre droit </w:t>
      </w:r>
      <w:r w:rsidRPr="00890DF1">
        <w:rPr>
          <w:rFonts w:ascii="Tahoma" w:hAnsi="Tahoma" w:cs="Tahoma"/>
          <w:szCs w:val="22"/>
        </w:rPr>
        <w:t>à un voyage à la charge de l’employeur,</w:t>
      </w:r>
      <w:r w:rsidRPr="00EA0C9B">
        <w:rPr>
          <w:rFonts w:ascii="Tahoma" w:hAnsi="Tahoma" w:cs="Tahoma"/>
          <w:szCs w:val="22"/>
        </w:rPr>
        <w:t xml:space="preserve"> quels que soient le lieu du déplacement de l’ingénieur ou cadre et la date à laquelle survient l’événement.</w:t>
      </w:r>
      <w:r>
        <w:rPr>
          <w:rFonts w:ascii="Tahoma" w:hAnsi="Tahoma" w:cs="Tahoma"/>
          <w:szCs w:val="22"/>
        </w:rPr>
        <w:t xml:space="preserve"> </w:t>
      </w:r>
      <w:r w:rsidRPr="00EA0C9B">
        <w:rPr>
          <w:rFonts w:ascii="Tahoma" w:hAnsi="Tahoma" w:cs="Tahoma"/>
          <w:szCs w:val="22"/>
        </w:rPr>
        <w:t>Pour les autres congés exceptionnels, ainsi que pour le congé légal de naissance, le voyage sera effectué à une date déterminée d’un commun accord avec l’employeur et comptera comme voyage de détente si le déplacement en comporte</w:t>
      </w:r>
      <w:r>
        <w:rPr>
          <w:rFonts w:ascii="Tahoma" w:hAnsi="Tahoma" w:cs="Tahoma"/>
          <w:szCs w:val="22"/>
        </w:rPr>
        <w:t>.</w:t>
      </w:r>
    </w:p>
    <w:p w:rsidR="00376A1C" w:rsidRDefault="00376A1C" w:rsidP="00376A1C">
      <w:pPr>
        <w:widowControl w:val="0"/>
        <w:autoSpaceDE w:val="0"/>
        <w:autoSpaceDN w:val="0"/>
        <w:adjustRightInd w:val="0"/>
        <w:spacing w:after="0" w:line="240" w:lineRule="auto"/>
        <w:rPr>
          <w:rFonts w:ascii="Arial" w:hAnsi="Arial" w:cs="Arial"/>
          <w:sz w:val="24"/>
          <w:szCs w:val="24"/>
        </w:rPr>
      </w:pPr>
    </w:p>
    <w:p w:rsidR="001A4B04" w:rsidRDefault="001A4B04" w:rsidP="00376A1C">
      <w:pPr>
        <w:widowControl w:val="0"/>
        <w:autoSpaceDE w:val="0"/>
        <w:autoSpaceDN w:val="0"/>
        <w:adjustRightInd w:val="0"/>
        <w:spacing w:after="0" w:line="240" w:lineRule="auto"/>
        <w:rPr>
          <w:rFonts w:ascii="Arial" w:hAnsi="Arial" w:cs="Arial"/>
          <w:sz w:val="24"/>
          <w:szCs w:val="24"/>
        </w:rPr>
      </w:pPr>
    </w:p>
    <w:p w:rsidR="001A4B04" w:rsidRDefault="001A4B04" w:rsidP="00376A1C">
      <w:pPr>
        <w:widowControl w:val="0"/>
        <w:autoSpaceDE w:val="0"/>
        <w:autoSpaceDN w:val="0"/>
        <w:adjustRightInd w:val="0"/>
        <w:spacing w:after="0" w:line="240" w:lineRule="auto"/>
        <w:rPr>
          <w:rFonts w:ascii="Arial" w:hAnsi="Arial" w:cs="Arial"/>
          <w:sz w:val="24"/>
          <w:szCs w:val="24"/>
        </w:rPr>
      </w:pPr>
    </w:p>
    <w:p w:rsidR="001A4B04" w:rsidRDefault="001A4B04" w:rsidP="00376A1C">
      <w:pPr>
        <w:widowControl w:val="0"/>
        <w:autoSpaceDE w:val="0"/>
        <w:autoSpaceDN w:val="0"/>
        <w:adjustRightInd w:val="0"/>
        <w:spacing w:after="0" w:line="240" w:lineRule="auto"/>
        <w:rPr>
          <w:rFonts w:ascii="Arial" w:hAnsi="Arial" w:cs="Arial"/>
          <w:sz w:val="24"/>
          <w:szCs w:val="24"/>
        </w:rPr>
      </w:pPr>
    </w:p>
    <w:p w:rsidR="001A4B04" w:rsidRDefault="001A4B04" w:rsidP="00376A1C">
      <w:pPr>
        <w:widowControl w:val="0"/>
        <w:autoSpaceDE w:val="0"/>
        <w:autoSpaceDN w:val="0"/>
        <w:adjustRightInd w:val="0"/>
        <w:spacing w:after="0" w:line="240" w:lineRule="auto"/>
        <w:rPr>
          <w:rFonts w:ascii="Arial" w:hAnsi="Arial" w:cs="Arial"/>
          <w:sz w:val="24"/>
          <w:szCs w:val="24"/>
        </w:rPr>
      </w:pPr>
    </w:p>
    <w:p w:rsidR="001A4B04" w:rsidRPr="00376A1C" w:rsidRDefault="001A4B04" w:rsidP="00376A1C">
      <w:pPr>
        <w:widowControl w:val="0"/>
        <w:autoSpaceDE w:val="0"/>
        <w:autoSpaceDN w:val="0"/>
        <w:adjustRightInd w:val="0"/>
        <w:spacing w:after="0" w:line="240" w:lineRule="auto"/>
        <w:rPr>
          <w:rFonts w:ascii="Arial" w:hAnsi="Arial" w:cs="Arial"/>
          <w:sz w:val="24"/>
          <w:szCs w:val="24"/>
        </w:rPr>
      </w:pPr>
    </w:p>
    <w:p w:rsidR="005D3A6D" w:rsidRDefault="005D3A6D" w:rsidP="00376A1C">
      <w:pPr>
        <w:pStyle w:val="Titre1"/>
      </w:pPr>
      <w:bookmarkStart w:id="39" w:name="_Toc6241704"/>
      <w:r w:rsidRPr="00376A1C">
        <w:t>Dispositifs divers</w:t>
      </w:r>
      <w:bookmarkEnd w:id="39"/>
      <w:r w:rsidRPr="0098598A">
        <w:t xml:space="preserve"> </w:t>
      </w:r>
    </w:p>
    <w:p w:rsidR="00376A1C" w:rsidRDefault="00376A1C" w:rsidP="005E0674">
      <w:pPr>
        <w:pStyle w:val="Titre2"/>
      </w:pPr>
      <w:bookmarkStart w:id="40" w:name="_Toc6241705"/>
      <w:r>
        <w:t>Billet SCNF</w:t>
      </w:r>
      <w:bookmarkEnd w:id="40"/>
    </w:p>
    <w:p w:rsidR="005D3A6D" w:rsidRDefault="00F62D91" w:rsidP="005D3A6D">
      <w:pPr>
        <w:rPr>
          <w:rStyle w:val="lev"/>
          <w:rFonts w:ascii="Arial" w:hAnsi="Arial" w:cs="Arial"/>
          <w:color w:val="4D4D4D"/>
        </w:rPr>
      </w:pPr>
      <w:r>
        <w:rPr>
          <w:rFonts w:ascii="Arial" w:hAnsi="Arial" w:cs="Arial"/>
          <w:noProof/>
          <w:color w:val="4D4D4D"/>
        </w:rPr>
        <w:lastRenderedPageBreak/>
        <w:drawing>
          <wp:anchor distT="0" distB="0" distL="114300" distR="114300" simplePos="0" relativeHeight="251713536" behindDoc="0" locked="0" layoutInCell="1" allowOverlap="1">
            <wp:simplePos x="0" y="0"/>
            <wp:positionH relativeFrom="margin">
              <wp:align>left</wp:align>
            </wp:positionH>
            <wp:positionV relativeFrom="paragraph">
              <wp:posOffset>77470</wp:posOffset>
            </wp:positionV>
            <wp:extent cx="3099435" cy="2324100"/>
            <wp:effectExtent l="0" t="0" r="5715" b="0"/>
            <wp:wrapThrough wrapText="bothSides">
              <wp:wrapPolygon edited="0">
                <wp:start x="0" y="0"/>
                <wp:lineTo x="0" y="21423"/>
                <wp:lineTo x="21507" y="21423"/>
                <wp:lineTo x="21507"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t-conge-annuel-sncf-big.jpg"/>
                    <pic:cNvPicPr/>
                  </pic:nvPicPr>
                  <pic:blipFill>
                    <a:blip r:embed="rId41">
                      <a:extLst>
                        <a:ext uri="{28A0092B-C50C-407E-A947-70E740481C1C}">
                          <a14:useLocalDpi xmlns:a14="http://schemas.microsoft.com/office/drawing/2010/main" val="0"/>
                        </a:ext>
                      </a:extLst>
                    </a:blip>
                    <a:stretch>
                      <a:fillRect/>
                    </a:stretch>
                  </pic:blipFill>
                  <pic:spPr>
                    <a:xfrm>
                      <a:off x="0" y="0"/>
                      <a:ext cx="3099435" cy="2324100"/>
                    </a:xfrm>
                    <a:prstGeom prst="rect">
                      <a:avLst/>
                    </a:prstGeom>
                  </pic:spPr>
                </pic:pic>
              </a:graphicData>
            </a:graphic>
            <wp14:sizeRelH relativeFrom="margin">
              <wp14:pctWidth>0</wp14:pctWidth>
            </wp14:sizeRelH>
            <wp14:sizeRelV relativeFrom="margin">
              <wp14:pctHeight>0</wp14:pctHeight>
            </wp14:sizeRelV>
          </wp:anchor>
        </w:drawing>
      </w:r>
      <w:r w:rsidR="005D3A6D" w:rsidRPr="0098598A">
        <w:rPr>
          <w:rFonts w:ascii="Tahoma" w:hAnsi="Tahoma" w:cs="Tahoma"/>
        </w:rPr>
        <w:t xml:space="preserve"> </w:t>
      </w:r>
      <w:r w:rsidR="005D3A6D" w:rsidRPr="0098598A">
        <w:rPr>
          <w:rFonts w:ascii="Arial" w:hAnsi="Arial" w:cs="Arial"/>
          <w:color w:val="4D4D4D"/>
        </w:rPr>
        <w:t xml:space="preserve">Chaque année, les salariés, leur conjoint et leurs enfants de moins de 21 ans (ou bien les père et mère pour un célibataire) ont droit à un </w:t>
      </w:r>
      <w:r w:rsidR="005D3A6D" w:rsidRPr="00F32250">
        <w:rPr>
          <w:rFonts w:ascii="Arial" w:hAnsi="Arial" w:cs="Arial"/>
          <w:color w:val="4D4D4D"/>
        </w:rPr>
        <w:t>billet SNCF</w:t>
      </w:r>
      <w:r w:rsidR="005D3A6D" w:rsidRPr="0098598A">
        <w:rPr>
          <w:rFonts w:ascii="Arial" w:hAnsi="Arial" w:cs="Arial"/>
          <w:color w:val="4D4D4D"/>
        </w:rPr>
        <w:t xml:space="preserve"> de congés payés à prix réduit. La réduction est de 25% sur le prix d’un billet aller-retour plein tarif. Ce billet annuel de congés payés est valable en 1</w:t>
      </w:r>
      <w:r w:rsidR="005D3A6D" w:rsidRPr="0098598A">
        <w:rPr>
          <w:rFonts w:ascii="Arial" w:hAnsi="Arial" w:cs="Arial"/>
          <w:color w:val="4D4D4D"/>
          <w:vertAlign w:val="superscript"/>
        </w:rPr>
        <w:t>re</w:t>
      </w:r>
      <w:r w:rsidR="005D3A6D" w:rsidRPr="0098598A">
        <w:rPr>
          <w:rFonts w:ascii="Arial" w:hAnsi="Arial" w:cs="Arial"/>
          <w:color w:val="4D4D4D"/>
        </w:rPr>
        <w:t xml:space="preserve"> et 2</w:t>
      </w:r>
      <w:r w:rsidR="005D3A6D" w:rsidRPr="0098598A">
        <w:rPr>
          <w:rFonts w:ascii="Arial" w:hAnsi="Arial" w:cs="Arial"/>
          <w:color w:val="4D4D4D"/>
          <w:vertAlign w:val="superscript"/>
        </w:rPr>
        <w:t>e</w:t>
      </w:r>
      <w:r w:rsidR="005D3A6D" w:rsidRPr="0098598A">
        <w:rPr>
          <w:rFonts w:ascii="Arial" w:hAnsi="Arial" w:cs="Arial"/>
          <w:color w:val="4D4D4D"/>
        </w:rPr>
        <w:t xml:space="preserve"> classe, pour un seul voyage, mais il faut parcourir au moins 200 kms, retour compris.</w:t>
      </w:r>
      <w:r w:rsidR="005D3A6D">
        <w:rPr>
          <w:rFonts w:ascii="Arial" w:hAnsi="Arial" w:cs="Arial"/>
          <w:color w:val="4D4D4D"/>
        </w:rPr>
        <w:t xml:space="preserve"> </w:t>
      </w:r>
      <w:r w:rsidR="005D3A6D" w:rsidRPr="0098598A">
        <w:rPr>
          <w:rFonts w:ascii="Arial" w:hAnsi="Arial" w:cs="Arial"/>
          <w:color w:val="4D4D4D"/>
        </w:rPr>
        <w:t>Le salarié désirant bénéficier d’un billet SNCF de congés payés doit le réserver au moins 24 heures à l’avance après s’être procuré un formulaire auprès de son employeur, d’une gare ou d’une boutique SNCF. Ce formulaire comporte une attestation qui doit être remplie par l’employeur.</w:t>
      </w:r>
      <w:r w:rsidR="005D3A6D">
        <w:rPr>
          <w:rFonts w:ascii="Arial" w:hAnsi="Arial" w:cs="Arial"/>
          <w:color w:val="4D4D4D"/>
        </w:rPr>
        <w:t xml:space="preserve"> Ce bille</w:t>
      </w:r>
      <w:r w:rsidR="005D3A6D" w:rsidRPr="0098598A">
        <w:rPr>
          <w:rFonts w:ascii="Arial" w:hAnsi="Arial" w:cs="Arial"/>
          <w:color w:val="4D4D4D"/>
        </w:rPr>
        <w:t>t de train n’est attribué qu’une seule fois par an et la date de départ doit se situer dans une des périodes de congés payés.</w:t>
      </w:r>
      <w:r w:rsidR="005D3A6D">
        <w:rPr>
          <w:rFonts w:ascii="Arial" w:hAnsi="Arial" w:cs="Arial"/>
          <w:color w:val="4D4D4D"/>
        </w:rPr>
        <w:t xml:space="preserve"> </w:t>
      </w:r>
      <w:r w:rsidR="005D3A6D" w:rsidRPr="0098598A">
        <w:rPr>
          <w:rStyle w:val="lev"/>
          <w:rFonts w:ascii="Arial" w:hAnsi="Arial" w:cs="Arial"/>
          <w:color w:val="4D4D4D"/>
        </w:rPr>
        <w:t xml:space="preserve">Si vous bénéficiez de </w:t>
      </w:r>
      <w:hyperlink r:id="rId42" w:tgtFrame="_blank" w:tooltip="chèques-vacances (nouvelle fenêtre)" w:history="1">
        <w:r w:rsidR="005D3A6D" w:rsidRPr="0098598A">
          <w:rPr>
            <w:rStyle w:val="Lienhypertexte"/>
            <w:rFonts w:ascii="Arial" w:eastAsia="Tahoma" w:hAnsi="Arial" w:cs="Arial"/>
          </w:rPr>
          <w:t>chèques-vacances</w:t>
        </w:r>
      </w:hyperlink>
      <w:r w:rsidR="005D3A6D" w:rsidRPr="0098598A">
        <w:rPr>
          <w:rStyle w:val="lev"/>
          <w:rFonts w:ascii="Arial" w:hAnsi="Arial" w:cs="Arial"/>
          <w:color w:val="4D4D4D"/>
        </w:rPr>
        <w:t>, la réduction pourra être portée à 50% au lieu de 25%, à condition de payer au moins la moitié du billet avec ces chèques vacances, et de partir en période bleue ou sur certains TGV, selon leur disponibilité.</w:t>
      </w:r>
    </w:p>
    <w:p w:rsidR="00F654FC" w:rsidRPr="005E7F8B" w:rsidRDefault="00F62D91" w:rsidP="005E0674">
      <w:pPr>
        <w:pStyle w:val="Titre2"/>
      </w:pPr>
      <w:bookmarkStart w:id="41" w:name="_Toc6241706"/>
      <w:r>
        <w:rPr>
          <w:rFonts w:ascii="Arial" w:hAnsi="Arial" w:cs="Arial"/>
          <w:noProof/>
        </w:rPr>
        <w:drawing>
          <wp:anchor distT="0" distB="0" distL="114300" distR="114300" simplePos="0" relativeHeight="251707392" behindDoc="0" locked="0" layoutInCell="1" allowOverlap="1">
            <wp:simplePos x="0" y="0"/>
            <wp:positionH relativeFrom="margin">
              <wp:align>right</wp:align>
            </wp:positionH>
            <wp:positionV relativeFrom="paragraph">
              <wp:posOffset>3810</wp:posOffset>
            </wp:positionV>
            <wp:extent cx="1714500" cy="1727835"/>
            <wp:effectExtent l="0" t="0" r="0" b="5715"/>
            <wp:wrapThrough wrapText="bothSides">
              <wp:wrapPolygon edited="0">
                <wp:start x="0" y="0"/>
                <wp:lineTo x="0" y="21433"/>
                <wp:lineTo x="21360" y="21433"/>
                <wp:lineTo x="21360" y="0"/>
                <wp:lineTo x="0" y="0"/>
              </wp:wrapPolygon>
            </wp:wrapThrough>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500_F_159314392_krQUqk7QpWF3EhSir8Ms3W3WK69idcf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4500" cy="1727835"/>
                    </a:xfrm>
                    <a:prstGeom prst="rect">
                      <a:avLst/>
                    </a:prstGeom>
                  </pic:spPr>
                </pic:pic>
              </a:graphicData>
            </a:graphic>
            <wp14:sizeRelH relativeFrom="margin">
              <wp14:pctWidth>0</wp14:pctWidth>
            </wp14:sizeRelH>
            <wp14:sizeRelV relativeFrom="margin">
              <wp14:pctHeight>0</wp14:pctHeight>
            </wp14:sizeRelV>
          </wp:anchor>
        </w:drawing>
      </w:r>
      <w:r w:rsidR="00F654FC" w:rsidRPr="005E7F8B">
        <w:rPr>
          <w:rFonts w:eastAsia="Verdana"/>
          <w:u w:color="000000"/>
        </w:rPr>
        <w:t>RENTRÉE DES CLASSES</w:t>
      </w:r>
      <w:bookmarkEnd w:id="41"/>
      <w:r w:rsidR="00F654FC" w:rsidRPr="005E7F8B">
        <w:t xml:space="preserve"> </w:t>
      </w:r>
      <w:r w:rsidR="00F654FC" w:rsidRPr="005E7F8B">
        <w:tab/>
      </w:r>
    </w:p>
    <w:p w:rsidR="005D3A6D" w:rsidRPr="004C3153" w:rsidRDefault="00F654FC" w:rsidP="00F654FC">
      <w:pPr>
        <w:autoSpaceDE w:val="0"/>
        <w:autoSpaceDN w:val="0"/>
        <w:adjustRightInd w:val="0"/>
        <w:rPr>
          <w:rStyle w:val="Accentuationlgre"/>
        </w:rPr>
      </w:pPr>
      <w:r w:rsidRPr="004C3153">
        <w:rPr>
          <w:rStyle w:val="Accentuationlgre"/>
        </w:rPr>
        <w:t>Deux heures d’absence rémunérées sont accordées au salarié qui accompagne son ou ses enfant(s) le jour de la rentrée de la première année de scolarité jusqu’à l’entrée en 6ème comprise. (Accord Travail &amp; Vie Privée)</w:t>
      </w:r>
    </w:p>
    <w:p w:rsidR="00F654FC" w:rsidRPr="004C3153" w:rsidRDefault="00F654FC" w:rsidP="00F654FC">
      <w:pPr>
        <w:ind w:right="170"/>
        <w:jc w:val="both"/>
        <w:rPr>
          <w:rStyle w:val="Accentuationlgre"/>
        </w:rPr>
      </w:pPr>
      <w:r w:rsidRPr="004C3153">
        <w:rPr>
          <w:rStyle w:val="Accentuationlgre"/>
        </w:rPr>
        <w:t xml:space="preserve">La rentrée scolaire des enfants prend du temps. Vous pouvez bénéficier de : </w:t>
      </w:r>
    </w:p>
    <w:p w:rsidR="00F654FC" w:rsidRPr="004C3153" w:rsidRDefault="00F654FC" w:rsidP="00F654FC">
      <w:pPr>
        <w:pStyle w:val="Listepuces"/>
        <w:tabs>
          <w:tab w:val="clear" w:pos="-2160"/>
          <w:tab w:val="left" w:pos="-360"/>
        </w:tabs>
        <w:spacing w:after="0" w:line="240" w:lineRule="auto"/>
        <w:ind w:left="1080" w:right="170"/>
        <w:jc w:val="both"/>
        <w:rPr>
          <w:rStyle w:val="Accentuationlgre"/>
        </w:rPr>
      </w:pPr>
      <w:r w:rsidRPr="004C3153">
        <w:rPr>
          <w:rStyle w:val="Accentuationlgre"/>
        </w:rPr>
        <w:t>4 heures pour le 1/4 du matin</w:t>
      </w:r>
    </w:p>
    <w:p w:rsidR="00F654FC" w:rsidRPr="004C3153" w:rsidRDefault="00F654FC" w:rsidP="00F654FC">
      <w:pPr>
        <w:pStyle w:val="Listepuces"/>
        <w:tabs>
          <w:tab w:val="clear" w:pos="-2160"/>
          <w:tab w:val="left" w:pos="-360"/>
        </w:tabs>
        <w:spacing w:after="0" w:line="240" w:lineRule="auto"/>
        <w:ind w:left="1080" w:right="170"/>
        <w:jc w:val="both"/>
        <w:rPr>
          <w:rStyle w:val="Accentuationlgre"/>
        </w:rPr>
      </w:pPr>
      <w:r w:rsidRPr="004C3153">
        <w:rPr>
          <w:rStyle w:val="Accentuationlgre"/>
        </w:rPr>
        <w:t>4 heures pour le 1/4 de l’AP</w:t>
      </w:r>
    </w:p>
    <w:p w:rsidR="00F654FC" w:rsidRPr="004C3153" w:rsidRDefault="00F654FC" w:rsidP="00F654FC">
      <w:pPr>
        <w:pStyle w:val="Listepuces"/>
        <w:tabs>
          <w:tab w:val="clear" w:pos="-2160"/>
          <w:tab w:val="left" w:pos="-360"/>
        </w:tabs>
        <w:spacing w:after="0" w:line="240" w:lineRule="auto"/>
        <w:ind w:left="1080" w:right="170"/>
        <w:jc w:val="both"/>
        <w:rPr>
          <w:rStyle w:val="Accentuationlgre"/>
        </w:rPr>
      </w:pPr>
      <w:r w:rsidRPr="004C3153">
        <w:rPr>
          <w:rStyle w:val="Accentuationlgre"/>
        </w:rPr>
        <w:t>4 heures pour les personnes de Journée.</w:t>
      </w:r>
    </w:p>
    <w:p w:rsidR="00765CD5" w:rsidRPr="00F654FC" w:rsidRDefault="00765CD5" w:rsidP="00765CD5">
      <w:pPr>
        <w:pStyle w:val="Listepuces"/>
        <w:numPr>
          <w:ilvl w:val="0"/>
          <w:numId w:val="0"/>
        </w:numPr>
        <w:tabs>
          <w:tab w:val="clear" w:pos="-2160"/>
          <w:tab w:val="left" w:pos="-360"/>
        </w:tabs>
        <w:spacing w:after="0" w:line="240" w:lineRule="auto"/>
        <w:ind w:left="1080" w:right="170"/>
        <w:jc w:val="both"/>
        <w:rPr>
          <w:rFonts w:ascii="Arial" w:hAnsi="Arial" w:cs="Arial"/>
          <w:sz w:val="20"/>
          <w:szCs w:val="20"/>
        </w:rPr>
      </w:pPr>
    </w:p>
    <w:p w:rsidR="00F32250" w:rsidRPr="00376A1C" w:rsidRDefault="00F32250" w:rsidP="00F32250">
      <w:pPr>
        <w:pStyle w:val="Titre2"/>
      </w:pPr>
      <w:bookmarkStart w:id="42" w:name="_Toc6241707"/>
      <w:r>
        <w:t>Indemnité de licenciement</w:t>
      </w:r>
      <w:bookmarkEnd w:id="42"/>
      <w:r>
        <w:t xml:space="preserve">  </w:t>
      </w:r>
    </w:p>
    <w:p w:rsidR="00F32250" w:rsidRPr="00CD677D" w:rsidRDefault="00F32250" w:rsidP="00F32250">
      <w:pPr>
        <w:widowControl w:val="0"/>
        <w:autoSpaceDE w:val="0"/>
        <w:autoSpaceDN w:val="0"/>
        <w:adjustRightInd w:val="0"/>
        <w:spacing w:after="0" w:line="240" w:lineRule="auto"/>
        <w:rPr>
          <w:rFonts w:ascii="Arial" w:hAnsi="Arial" w:cs="Arial"/>
        </w:rPr>
      </w:pPr>
      <w:r w:rsidRPr="00CD677D">
        <w:rPr>
          <w:rFonts w:ascii="Arial" w:hAnsi="Arial" w:cs="Arial"/>
        </w:rPr>
        <w:t xml:space="preserve">Le salarié licencié alors qu’il compte, à la date d’envoi de la lettre de notification du licenciement,1 année d’ancienneté au service du même employeur, a droit, sauf en cas de faute grave, à une indemnité de licenciement distincte du préavis. </w:t>
      </w:r>
    </w:p>
    <w:p w:rsidR="005E0674" w:rsidRPr="005E0674" w:rsidRDefault="00F32250" w:rsidP="005E0674">
      <w:pPr>
        <w:widowControl w:val="0"/>
        <w:autoSpaceDE w:val="0"/>
        <w:autoSpaceDN w:val="0"/>
        <w:adjustRightInd w:val="0"/>
        <w:spacing w:after="0" w:line="240" w:lineRule="auto"/>
        <w:rPr>
          <w:rFonts w:ascii="Arial" w:hAnsi="Arial" w:cs="Arial"/>
        </w:rPr>
      </w:pPr>
      <w:r w:rsidRPr="00CD677D">
        <w:rPr>
          <w:rFonts w:ascii="Arial" w:hAnsi="Arial" w:cs="Arial"/>
        </w:rPr>
        <w:t>Le taux de cette indemnité et ses conditions d’attribution sont fixés</w:t>
      </w:r>
    </w:p>
    <w:p w:rsidR="00713906" w:rsidRPr="002E253E" w:rsidRDefault="00713906" w:rsidP="005E0674">
      <w:pPr>
        <w:pStyle w:val="Titre2"/>
      </w:pPr>
      <w:bookmarkStart w:id="43" w:name="_Toc6241708"/>
      <w:r>
        <w:rPr>
          <w:noProof/>
        </w:rPr>
        <w:drawing>
          <wp:anchor distT="0" distB="0" distL="114300" distR="114300" simplePos="0" relativeHeight="251693056" behindDoc="1" locked="0" layoutInCell="1" allowOverlap="1">
            <wp:simplePos x="0" y="0"/>
            <wp:positionH relativeFrom="margin">
              <wp:align>right</wp:align>
            </wp:positionH>
            <wp:positionV relativeFrom="paragraph">
              <wp:posOffset>18127</wp:posOffset>
            </wp:positionV>
            <wp:extent cx="2110740" cy="1927860"/>
            <wp:effectExtent l="0" t="0" r="3810" b="0"/>
            <wp:wrapTight wrapText="bothSides">
              <wp:wrapPolygon edited="0">
                <wp:start x="0" y="0"/>
                <wp:lineTo x="0" y="21344"/>
                <wp:lineTo x="21444" y="21344"/>
                <wp:lineTo x="21444"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t="5948"/>
                    <a:stretch>
                      <a:fillRect/>
                    </a:stretch>
                  </pic:blipFill>
                  <pic:spPr bwMode="auto">
                    <a:xfrm>
                      <a:off x="0" y="0"/>
                      <a:ext cx="211074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53E">
        <w:t>PREVOYANCE</w:t>
      </w:r>
      <w:bookmarkEnd w:id="43"/>
    </w:p>
    <w:p w:rsidR="00713906" w:rsidRDefault="00713906" w:rsidP="00713906">
      <w:pPr>
        <w:spacing w:line="259" w:lineRule="auto"/>
        <w:jc w:val="both"/>
        <w:rPr>
          <w:rFonts w:cs="Calibri"/>
        </w:rPr>
      </w:pPr>
      <w:r w:rsidRPr="002E253E">
        <w:rPr>
          <w:rFonts w:cs="Calibri"/>
        </w:rPr>
        <w:t>L’adhésion aux garanties Prévoyance souscrites auprès de Humanis Prévoyance vous permet de bénéficier des aides proposées par Les Activités sociales de notre institution en matière de « gros risque » (c’est-à-dire hors dépenses de santé). Afin d’accompagner certaines situations individuelles particulières, il a été prévu, en complément des actions de Humanis Prévoyance, de disposer d’un fonds social dédié.</w:t>
      </w:r>
    </w:p>
    <w:p w:rsidR="00713906" w:rsidRPr="00596332" w:rsidRDefault="00713906" w:rsidP="00713906">
      <w:pPr>
        <w:pStyle w:val="Titre4"/>
      </w:pPr>
      <w:r w:rsidRPr="00596332">
        <w:t>RHéALTO</w:t>
      </w:r>
    </w:p>
    <w:p w:rsidR="00713906" w:rsidRDefault="00713906" w:rsidP="00713906">
      <w:pPr>
        <w:spacing w:before="0" w:after="0" w:line="240" w:lineRule="auto"/>
        <w:rPr>
          <w:rFonts w:cs="Calibri"/>
        </w:rPr>
      </w:pPr>
      <w:r w:rsidRPr="00596332">
        <w:rPr>
          <w:rFonts w:cs="Calibri"/>
        </w:rPr>
        <w:t>Accompagnement des salariés Service confidentiel d’écoute et d’accompagnement psychosocial afin d’aider les salariés et leurs ayants-droit à résoudre leurs difficultés.</w:t>
      </w:r>
    </w:p>
    <w:p w:rsidR="00713906" w:rsidRPr="00F31B69" w:rsidRDefault="00713906" w:rsidP="00713906">
      <w:pPr>
        <w:pStyle w:val="Titre4"/>
      </w:pPr>
      <w:r w:rsidRPr="00F31B69">
        <w:t>Congé De Proche Aidant</w:t>
      </w:r>
    </w:p>
    <w:p w:rsidR="00713906" w:rsidRPr="005E0674" w:rsidRDefault="00713906" w:rsidP="005E0674">
      <w:pPr>
        <w:spacing w:line="259" w:lineRule="auto"/>
        <w:jc w:val="both"/>
        <w:rPr>
          <w:rFonts w:cs="Calibri"/>
        </w:rPr>
      </w:pPr>
      <w:r w:rsidRPr="00C969A2">
        <w:rPr>
          <w:rFonts w:cs="Calibri"/>
        </w:rPr>
        <w:t>Le salarié ayant au moins un an d'ancienneté dans l'entreprise a droit à un congé de proche aidant.</w:t>
      </w:r>
    </w:p>
    <w:tbl>
      <w:tblPr>
        <w:tblStyle w:val="Grilledutableau"/>
        <w:tblpPr w:leftFromText="141" w:rightFromText="141" w:vertAnchor="page" w:horzAnchor="margin" w:tblpXSpec="right" w:tblpY="745"/>
        <w:tblW w:w="0" w:type="auto"/>
        <w:tblLook w:val="04A0" w:firstRow="1" w:lastRow="0" w:firstColumn="1" w:lastColumn="0" w:noHBand="0" w:noVBand="1"/>
      </w:tblPr>
      <w:tblGrid>
        <w:gridCol w:w="1273"/>
      </w:tblGrid>
      <w:tr w:rsidR="001A4B04" w:rsidTr="001A4B04">
        <w:trPr>
          <w:cantSplit/>
          <w:trHeight w:val="7513"/>
        </w:trPr>
        <w:tc>
          <w:tcPr>
            <w:tcW w:w="1273" w:type="dxa"/>
            <w:tcBorders>
              <w:top w:val="nil"/>
              <w:left w:val="nil"/>
              <w:bottom w:val="nil"/>
              <w:right w:val="nil"/>
            </w:tcBorders>
            <w:textDirection w:val="tbRl"/>
          </w:tcPr>
          <w:p w:rsidR="001A4B04" w:rsidRDefault="001A4B04" w:rsidP="001A4B04">
            <w:pPr>
              <w:pStyle w:val="Titre2"/>
              <w:outlineLvl w:val="1"/>
            </w:pPr>
            <w:bookmarkStart w:id="44" w:name="_Toc6241709"/>
            <w:r>
              <w:lastRenderedPageBreak/>
              <w:t>ACCORD EQVT</w:t>
            </w:r>
            <w:bookmarkEnd w:id="44"/>
          </w:p>
        </w:tc>
      </w:tr>
    </w:tbl>
    <w:p w:rsidR="00121C9C" w:rsidRPr="00121C9C" w:rsidRDefault="00121C9C" w:rsidP="00121C9C">
      <w:pPr>
        <w:pStyle w:val="Titre4"/>
      </w:pPr>
      <w:r>
        <w:t>Consultation d’un médecin spécialiste (accord travail equilibre vie privee /professionnel )</w:t>
      </w:r>
    </w:p>
    <w:p w:rsidR="00D51226" w:rsidRPr="005E0674" w:rsidRDefault="00121C9C" w:rsidP="00121C9C">
      <w:pPr>
        <w:spacing w:line="240" w:lineRule="exact"/>
        <w:ind w:right="991"/>
        <w:jc w:val="both"/>
        <w:rPr>
          <w:rFonts w:ascii="Arial" w:hAnsi="Arial" w:cs="Arial"/>
        </w:rPr>
      </w:pPr>
      <w:r w:rsidRPr="005E0674">
        <w:rPr>
          <w:rFonts w:ascii="Arial" w:hAnsi="Arial" w:cs="Arial"/>
        </w:rPr>
        <w:t>Le salarié qui souffre d’une pathologie nécessitant la consultation d’un médecin spécialiste hors de l’agglomération où il réside peut bénéficier d’une aide destinée à en réduire l’impact financier.</w:t>
      </w:r>
    </w:p>
    <w:p w:rsidR="00121C9C" w:rsidRPr="005E0674" w:rsidRDefault="00121C9C" w:rsidP="00121C9C">
      <w:pPr>
        <w:spacing w:line="240" w:lineRule="exact"/>
        <w:ind w:right="991"/>
        <w:jc w:val="both"/>
        <w:rPr>
          <w:rFonts w:ascii="Arial" w:hAnsi="Arial" w:cs="Arial"/>
        </w:rPr>
      </w:pPr>
    </w:p>
    <w:p w:rsidR="00121C9C" w:rsidRPr="005E0674" w:rsidRDefault="00121C9C" w:rsidP="00121C9C">
      <w:pPr>
        <w:spacing w:line="240" w:lineRule="exact"/>
        <w:ind w:right="991"/>
        <w:jc w:val="both"/>
        <w:rPr>
          <w:rFonts w:ascii="Arial" w:hAnsi="Arial" w:cs="Arial"/>
        </w:rPr>
      </w:pPr>
      <w:r w:rsidRPr="005E0674">
        <w:rPr>
          <w:rFonts w:ascii="Arial" w:hAnsi="Arial" w:cs="Arial"/>
        </w:rPr>
        <w:t>Le bénéfice de cette aide est étendue au conjoint, concubin, partenaire lié par un pacte civil de solidarité et aux enfants à charge souffrant d’une pathologie nécessitant la consultation d’un spécialiste hors de l’agglomération où réside la famille.</w:t>
      </w:r>
    </w:p>
    <w:p w:rsidR="00121C9C" w:rsidRPr="005E0674" w:rsidRDefault="00121C9C" w:rsidP="00121C9C">
      <w:pPr>
        <w:spacing w:line="240" w:lineRule="exact"/>
        <w:ind w:right="991"/>
        <w:jc w:val="both"/>
        <w:rPr>
          <w:rFonts w:ascii="Arial" w:hAnsi="Arial" w:cs="Arial"/>
        </w:rPr>
      </w:pPr>
      <w:r w:rsidRPr="005E0674">
        <w:rPr>
          <w:rFonts w:ascii="Arial" w:hAnsi="Arial" w:cs="Arial"/>
        </w:rPr>
        <w:t>Cette aide se traduit par la prise en charge des frais de transport, frais de carburant et de péage d’autoroute ou billets de chemin de fer AR (base 2</w:t>
      </w:r>
      <w:r w:rsidRPr="005E0674">
        <w:rPr>
          <w:rFonts w:ascii="Arial" w:hAnsi="Arial" w:cs="Arial"/>
          <w:vertAlign w:val="superscript"/>
        </w:rPr>
        <w:t>ème</w:t>
      </w:r>
      <w:r w:rsidRPr="005E0674">
        <w:rPr>
          <w:rFonts w:ascii="Arial" w:hAnsi="Arial" w:cs="Arial"/>
        </w:rPr>
        <w:t xml:space="preserve"> classe) dans la limite de 2 personnes ( malade+ accompagnant éventuel) étant entendu que le salarié doit obligatoirement être l’une d’elles. </w:t>
      </w:r>
    </w:p>
    <w:p w:rsidR="00121C9C" w:rsidRPr="005E0674" w:rsidRDefault="00121C9C" w:rsidP="00121C9C">
      <w:pPr>
        <w:spacing w:line="240" w:lineRule="exact"/>
        <w:ind w:right="991"/>
        <w:jc w:val="both"/>
        <w:rPr>
          <w:rFonts w:ascii="Arial" w:hAnsi="Arial" w:cs="Arial"/>
        </w:rPr>
      </w:pPr>
      <w:r w:rsidRPr="005E0674">
        <w:rPr>
          <w:rFonts w:ascii="Arial" w:hAnsi="Arial" w:cs="Arial"/>
        </w:rPr>
        <w:t xml:space="preserve">Les frais engagés sont remboursés par note de frais sur présentation des justificatifs du rendez-vous médical, de l’identité de son bénéficiaire et des frais engagés dans la limite de 100 € par personne pour les déplacements en train et 100€ par déplacement en voiture dans la limite de 3 prises en charge par an. </w:t>
      </w:r>
    </w:p>
    <w:p w:rsidR="005D3A6D" w:rsidRDefault="00121C9C" w:rsidP="005E0674">
      <w:pPr>
        <w:spacing w:line="240" w:lineRule="exact"/>
        <w:ind w:right="991"/>
        <w:jc w:val="both"/>
        <w:rPr>
          <w:rFonts w:ascii="Arial" w:hAnsi="Arial" w:cs="Arial"/>
        </w:rPr>
      </w:pPr>
      <w:r w:rsidRPr="005E0674">
        <w:rPr>
          <w:rFonts w:ascii="Arial" w:hAnsi="Arial" w:cs="Arial"/>
        </w:rPr>
        <w:t>Le bénéfice de cette aide est subordonné à un avis préalable favorable de l’Assistante sociale.</w:t>
      </w:r>
    </w:p>
    <w:p w:rsidR="004C3153" w:rsidRDefault="004C3153" w:rsidP="004C3153">
      <w:pPr>
        <w:pStyle w:val="Titre4"/>
      </w:pPr>
      <w:r>
        <w:t xml:space="preserve">Déménagement  </w:t>
      </w:r>
    </w:p>
    <w:p w:rsidR="004C3153" w:rsidRPr="00D51226" w:rsidRDefault="004C3153" w:rsidP="004C3153">
      <w:pPr>
        <w:spacing w:line="240" w:lineRule="exact"/>
        <w:ind w:right="991"/>
        <w:jc w:val="both"/>
        <w:rPr>
          <w:rFonts w:ascii="Arial" w:hAnsi="Arial" w:cs="Arial"/>
        </w:rPr>
      </w:pPr>
      <w:r w:rsidRPr="00D51226">
        <w:rPr>
          <w:rFonts w:ascii="Arial" w:hAnsi="Arial" w:cs="Arial"/>
        </w:rPr>
        <w:t xml:space="preserve">Le salarié qui déménage (résidence principale) peut bénéficier d’une journée de congé. </w:t>
      </w:r>
    </w:p>
    <w:p w:rsidR="004C3153" w:rsidRPr="00D51226" w:rsidRDefault="004C3153" w:rsidP="004C3153">
      <w:pPr>
        <w:spacing w:line="240" w:lineRule="exact"/>
        <w:ind w:right="991"/>
        <w:jc w:val="both"/>
        <w:rPr>
          <w:rFonts w:ascii="Arial" w:hAnsi="Arial" w:cs="Arial"/>
        </w:rPr>
      </w:pPr>
      <w:r w:rsidRPr="00D51226">
        <w:rPr>
          <w:rFonts w:ascii="Arial" w:hAnsi="Arial" w:cs="Arial"/>
          <w:b/>
        </w:rPr>
        <w:t>S’agissant des salariés dont le temps de trajet aller-retour est au moins égal à 1heure,</w:t>
      </w:r>
      <w:r w:rsidRPr="00D51226">
        <w:rPr>
          <w:rFonts w:ascii="Arial" w:hAnsi="Arial" w:cs="Arial"/>
        </w:rPr>
        <w:t xml:space="preserve"> si le déménagement réduit d’au moins la moitié  le temps de trajet entre le nouveau  domicile et le lieu de travail, une participation aux frais de déménagement pourra être versée dans la limite d’un montant maximum de 400€.</w:t>
      </w:r>
    </w:p>
    <w:p w:rsidR="004C3153" w:rsidRDefault="004C3153" w:rsidP="004C3153">
      <w:pPr>
        <w:autoSpaceDE w:val="0"/>
        <w:autoSpaceDN w:val="0"/>
        <w:adjustRightInd w:val="0"/>
        <w:spacing w:before="0"/>
        <w:rPr>
          <w:rFonts w:ascii="Arial" w:hAnsi="Arial" w:cs="Arial"/>
        </w:rPr>
      </w:pPr>
      <w:r w:rsidRPr="00D51226">
        <w:rPr>
          <w:rFonts w:ascii="Arial" w:hAnsi="Arial" w:cs="Arial"/>
        </w:rPr>
        <w:t>Cette participation sera payée  par note de frais sur présentation des  justificatifs (facture acquittée)</w:t>
      </w:r>
      <w:r>
        <w:rPr>
          <w:rFonts w:ascii="Arial" w:hAnsi="Arial" w:cs="Arial"/>
        </w:rPr>
        <w:t>.</w:t>
      </w:r>
    </w:p>
    <w:p w:rsidR="004C3153" w:rsidRPr="0023644C" w:rsidRDefault="004C3153" w:rsidP="004C3153">
      <w:pPr>
        <w:pStyle w:val="Titre2"/>
        <w:rPr>
          <w:bCs/>
        </w:rPr>
      </w:pPr>
      <w:bookmarkStart w:id="45" w:name="_Toc6241710"/>
      <w:r w:rsidRPr="0023644C">
        <w:t>ZONE TOUCHÉE PAR UNE CATASTROPHE NATURELLE</w:t>
      </w:r>
      <w:bookmarkEnd w:id="45"/>
    </w:p>
    <w:p w:rsidR="004C3153" w:rsidRPr="005E0674" w:rsidRDefault="004C3153" w:rsidP="004C3153">
      <w:pPr>
        <w:autoSpaceDE w:val="0"/>
        <w:autoSpaceDN w:val="0"/>
        <w:adjustRightInd w:val="0"/>
        <w:spacing w:before="0"/>
        <w:rPr>
          <w:rFonts w:cs="Calibri"/>
        </w:rPr>
      </w:pPr>
      <w:r w:rsidRPr="00C969A2">
        <w:rPr>
          <w:rFonts w:cs="Calibri"/>
        </w:rPr>
        <w:t xml:space="preserve">Le salarié résidant ou habituellement employé dans une zone touchée par une catastrophe naturelle a droit à un congé. </w:t>
      </w:r>
      <w:r w:rsidRPr="0023644C">
        <w:rPr>
          <w:rFonts w:cs="Calibri"/>
        </w:rPr>
        <w:t>L. 3142-48</w:t>
      </w:r>
      <w:r>
        <w:rPr>
          <w:rFonts w:cs="Calibri"/>
        </w:rPr>
        <w:t>.</w:t>
      </w:r>
    </w:p>
    <w:p w:rsidR="005D3A6D" w:rsidRDefault="001B4116" w:rsidP="00021A9E">
      <w:pPr>
        <w:pStyle w:val="Titre1"/>
        <w:rPr>
          <w:rFonts w:eastAsia="Verdana"/>
          <w:u w:color="000000"/>
        </w:rPr>
      </w:pPr>
      <w:bookmarkStart w:id="46" w:name="_Toc6241711"/>
      <w:r>
        <w:rPr>
          <w:rFonts w:eastAsia="Verdana"/>
          <w:u w:color="000000"/>
        </w:rPr>
        <w:t>ALISTA</w:t>
      </w:r>
      <w:bookmarkEnd w:id="46"/>
      <w:r>
        <w:rPr>
          <w:rFonts w:eastAsia="Verdana"/>
          <w:u w:color="000000"/>
        </w:rPr>
        <w:t xml:space="preserve"> </w:t>
      </w:r>
    </w:p>
    <w:p w:rsidR="001B4116" w:rsidRPr="00021A9E" w:rsidRDefault="00F04C3A" w:rsidP="001B4116">
      <w:pPr>
        <w:pStyle w:val="Sansinterligne"/>
        <w:rPr>
          <w:rFonts w:ascii="Tahoma" w:eastAsia="Verdana" w:hAnsi="Tahoma" w:cs="Tahoma"/>
          <w:u w:val="single"/>
        </w:rPr>
      </w:pPr>
      <w:hyperlink r:id="rId45" w:history="1">
        <w:r w:rsidR="001B4116" w:rsidRPr="00021A9E">
          <w:rPr>
            <w:rStyle w:val="Lienhypertexte"/>
            <w:rFonts w:ascii="Tahoma" w:eastAsia="Verdana" w:hAnsi="Tahoma" w:cs="Tahoma"/>
            <w:b/>
            <w:color w:val="3C96DE" w:themeColor="text2" w:themeTint="99"/>
            <w:u w:val="single"/>
          </w:rPr>
          <w:t>Guide d’utilisation de l’Outil ALISTA</w:t>
        </w:r>
      </w:hyperlink>
    </w:p>
    <w:p w:rsidR="008E267B" w:rsidRDefault="008E267B" w:rsidP="008E267B">
      <w:pPr>
        <w:spacing w:before="0" w:after="0"/>
        <w:rPr>
          <w:rFonts w:ascii="Tahoma" w:eastAsia="Verdana" w:hAnsi="Tahoma" w:cs="Tahoma"/>
          <w:u w:color="000000"/>
        </w:rPr>
      </w:pPr>
      <w:r w:rsidRPr="00D51226">
        <w:rPr>
          <w:rFonts w:ascii="Tahoma" w:eastAsia="Verdana" w:hAnsi="Tahoma" w:cs="Tahoma"/>
          <w:b/>
          <w:u w:color="000000"/>
        </w:rPr>
        <w:t>CET</w:t>
      </w:r>
      <w:r w:rsidRPr="008E267B">
        <w:rPr>
          <w:rFonts w:ascii="Tahoma" w:eastAsia="Verdana" w:hAnsi="Tahoma" w:cs="Tahoma"/>
          <w:u w:color="000000"/>
        </w:rPr>
        <w:t xml:space="preserve"> : Compte Epargne Temps </w:t>
      </w:r>
    </w:p>
    <w:p w:rsidR="008E267B" w:rsidRPr="00D51226" w:rsidRDefault="008E267B" w:rsidP="00D51226">
      <w:pPr>
        <w:pStyle w:val="Paragraphedeliste"/>
        <w:numPr>
          <w:ilvl w:val="0"/>
          <w:numId w:val="21"/>
        </w:numPr>
        <w:spacing w:before="0" w:after="0"/>
        <w:rPr>
          <w:rFonts w:ascii="Tahoma" w:eastAsia="Verdana" w:hAnsi="Tahoma" w:cs="Tahoma"/>
          <w:u w:color="000000"/>
        </w:rPr>
      </w:pPr>
      <w:r w:rsidRPr="00D51226">
        <w:rPr>
          <w:rFonts w:ascii="Tahoma" w:eastAsia="Verdana" w:hAnsi="Tahoma" w:cs="Tahoma"/>
          <w:u w:color="000000"/>
        </w:rPr>
        <w:t xml:space="preserve"> CET1 : Origine CP </w:t>
      </w:r>
    </w:p>
    <w:p w:rsidR="008E267B" w:rsidRPr="00D51226" w:rsidRDefault="008E267B" w:rsidP="00D51226">
      <w:pPr>
        <w:pStyle w:val="Paragraphedeliste"/>
        <w:numPr>
          <w:ilvl w:val="0"/>
          <w:numId w:val="21"/>
        </w:numPr>
        <w:spacing w:before="0" w:after="0"/>
        <w:rPr>
          <w:rFonts w:ascii="Tahoma" w:eastAsia="Verdana" w:hAnsi="Tahoma" w:cs="Tahoma"/>
          <w:u w:color="000000"/>
        </w:rPr>
      </w:pPr>
      <w:r w:rsidRPr="00D51226">
        <w:rPr>
          <w:rFonts w:ascii="Tahoma" w:eastAsia="Verdana" w:hAnsi="Tahoma" w:cs="Tahoma"/>
          <w:u w:color="000000"/>
        </w:rPr>
        <w:t xml:space="preserve"> CET2 : Origine Autres (congés d’ancienneté, 13ème mois et intéressement / participation placés en CET avant le 1er mars 2017) </w:t>
      </w:r>
    </w:p>
    <w:p w:rsidR="008E267B" w:rsidRPr="00D51226" w:rsidRDefault="008E267B" w:rsidP="00D51226">
      <w:pPr>
        <w:pStyle w:val="Paragraphedeliste"/>
        <w:numPr>
          <w:ilvl w:val="0"/>
          <w:numId w:val="21"/>
        </w:numPr>
        <w:spacing w:before="0" w:after="0"/>
        <w:rPr>
          <w:rFonts w:ascii="Tahoma" w:eastAsia="Verdana" w:hAnsi="Tahoma" w:cs="Tahoma"/>
          <w:u w:color="000000"/>
        </w:rPr>
      </w:pPr>
      <w:r w:rsidRPr="00D51226">
        <w:rPr>
          <w:rFonts w:ascii="Tahoma" w:eastAsia="Verdana" w:hAnsi="Tahoma" w:cs="Tahoma"/>
          <w:u w:color="000000"/>
        </w:rPr>
        <w:t xml:space="preserve"> CET3 : Origine RTT </w:t>
      </w:r>
    </w:p>
    <w:p w:rsidR="00D51226" w:rsidRPr="00D51226" w:rsidRDefault="008E267B" w:rsidP="00D51226">
      <w:pPr>
        <w:pStyle w:val="Paragraphedeliste"/>
        <w:numPr>
          <w:ilvl w:val="0"/>
          <w:numId w:val="21"/>
        </w:numPr>
        <w:spacing w:before="0" w:after="0"/>
        <w:rPr>
          <w:rFonts w:ascii="Tahoma" w:eastAsia="Verdana" w:hAnsi="Tahoma" w:cs="Tahoma"/>
          <w:u w:color="000000"/>
        </w:rPr>
      </w:pPr>
      <w:r w:rsidRPr="00D51226">
        <w:rPr>
          <w:rFonts w:ascii="Tahoma" w:eastAsia="Verdana" w:hAnsi="Tahoma" w:cs="Tahoma"/>
          <w:u w:color="000000"/>
        </w:rPr>
        <w:t xml:space="preserve">CET4 : CET naissance (groupe fermé, anciennes dispositions) : CET abondés à prendre avant le 6ème anniversaire de l’enfant.  </w:t>
      </w:r>
    </w:p>
    <w:p w:rsidR="008E267B" w:rsidRPr="00D51226" w:rsidRDefault="008E267B" w:rsidP="00D51226">
      <w:pPr>
        <w:pStyle w:val="Paragraphedeliste"/>
        <w:numPr>
          <w:ilvl w:val="0"/>
          <w:numId w:val="21"/>
        </w:numPr>
        <w:spacing w:before="0" w:after="0"/>
        <w:rPr>
          <w:rFonts w:ascii="Tahoma" w:eastAsia="Verdana" w:hAnsi="Tahoma" w:cs="Tahoma"/>
          <w:u w:color="000000"/>
        </w:rPr>
      </w:pPr>
      <w:r w:rsidRPr="00D51226">
        <w:rPr>
          <w:rFonts w:ascii="Tahoma" w:eastAsia="Verdana" w:hAnsi="Tahoma" w:cs="Tahoma"/>
          <w:u w:color="000000"/>
        </w:rPr>
        <w:t xml:space="preserve">CEP : CET 13ème mois (Suite accord CET de mars 2017) </w:t>
      </w:r>
    </w:p>
    <w:p w:rsidR="008E267B" w:rsidRPr="00D51226" w:rsidRDefault="008E267B" w:rsidP="00D51226">
      <w:pPr>
        <w:pStyle w:val="Paragraphedeliste"/>
        <w:numPr>
          <w:ilvl w:val="0"/>
          <w:numId w:val="21"/>
        </w:numPr>
        <w:spacing w:before="0" w:after="0"/>
        <w:rPr>
          <w:rFonts w:ascii="Tahoma" w:eastAsia="Verdana" w:hAnsi="Tahoma" w:cs="Tahoma"/>
          <w:u w:color="000000"/>
        </w:rPr>
      </w:pPr>
      <w:r w:rsidRPr="00D51226">
        <w:rPr>
          <w:rFonts w:ascii="Tahoma" w:eastAsia="Verdana" w:hAnsi="Tahoma" w:cs="Tahoma"/>
          <w:u w:color="000000"/>
        </w:rPr>
        <w:t xml:space="preserve">CEM : CET mobilisable (Suite accord CET de mars 2017) </w:t>
      </w:r>
    </w:p>
    <w:p w:rsidR="008E267B" w:rsidRPr="00D51226" w:rsidRDefault="008E267B" w:rsidP="00D51226">
      <w:pPr>
        <w:pStyle w:val="Paragraphedeliste"/>
        <w:numPr>
          <w:ilvl w:val="0"/>
          <w:numId w:val="21"/>
        </w:numPr>
        <w:spacing w:before="0" w:after="0"/>
        <w:rPr>
          <w:rFonts w:ascii="Tahoma" w:eastAsia="Verdana" w:hAnsi="Tahoma" w:cs="Tahoma"/>
          <w:u w:color="000000"/>
        </w:rPr>
      </w:pPr>
      <w:r w:rsidRPr="00D51226">
        <w:rPr>
          <w:rFonts w:ascii="Tahoma" w:eastAsia="Verdana" w:hAnsi="Tahoma" w:cs="Tahoma"/>
          <w:u w:color="000000"/>
        </w:rPr>
        <w:t xml:space="preserve">CEI : CET Intéressement / Participation (Suite accord CET de mars 2017) </w:t>
      </w:r>
    </w:p>
    <w:p w:rsidR="008E267B" w:rsidRPr="00D51226" w:rsidRDefault="008E267B" w:rsidP="00D51226">
      <w:pPr>
        <w:pStyle w:val="Paragraphedeliste"/>
        <w:numPr>
          <w:ilvl w:val="0"/>
          <w:numId w:val="21"/>
        </w:numPr>
        <w:spacing w:before="0" w:after="0"/>
        <w:rPr>
          <w:rFonts w:ascii="Tahoma" w:eastAsia="Verdana" w:hAnsi="Tahoma" w:cs="Tahoma"/>
          <w:u w:color="000000"/>
        </w:rPr>
      </w:pPr>
      <w:r w:rsidRPr="00D51226">
        <w:rPr>
          <w:rFonts w:ascii="Tahoma" w:eastAsia="Verdana" w:hAnsi="Tahoma" w:cs="Tahoma"/>
          <w:u w:color="000000"/>
        </w:rPr>
        <w:t xml:space="preserve">CEA : CET Abondé (Suite accord CET de mars 2017) </w:t>
      </w:r>
    </w:p>
    <w:p w:rsidR="008E267B" w:rsidRPr="008E267B" w:rsidRDefault="008E267B" w:rsidP="008E267B">
      <w:pPr>
        <w:spacing w:before="0" w:after="0"/>
        <w:rPr>
          <w:rFonts w:ascii="Tahoma" w:eastAsia="Verdana" w:hAnsi="Tahoma" w:cs="Tahoma"/>
          <w:u w:color="000000"/>
        </w:rPr>
      </w:pPr>
      <w:r w:rsidRPr="008E267B">
        <w:rPr>
          <w:rFonts w:ascii="Tahoma" w:eastAsia="Verdana" w:hAnsi="Tahoma" w:cs="Tahoma"/>
          <w:u w:color="000000"/>
        </w:rPr>
        <w:t xml:space="preserve"> </w:t>
      </w:r>
    </w:p>
    <w:p w:rsidR="008E267B" w:rsidRDefault="008E267B" w:rsidP="008E267B">
      <w:pPr>
        <w:spacing w:before="0" w:after="0"/>
        <w:rPr>
          <w:rFonts w:ascii="Tahoma" w:eastAsia="Verdana" w:hAnsi="Tahoma" w:cs="Tahoma"/>
          <w:u w:color="000000"/>
        </w:rPr>
      </w:pPr>
      <w:r w:rsidRPr="00D51226">
        <w:rPr>
          <w:rFonts w:ascii="Tahoma" w:eastAsia="Verdana" w:hAnsi="Tahoma" w:cs="Tahoma"/>
          <w:b/>
          <w:u w:color="000000"/>
        </w:rPr>
        <w:t>CP1</w:t>
      </w:r>
      <w:r w:rsidRPr="008E267B">
        <w:rPr>
          <w:rFonts w:ascii="Tahoma" w:eastAsia="Verdana" w:hAnsi="Tahoma" w:cs="Tahoma"/>
          <w:u w:color="000000"/>
        </w:rPr>
        <w:t xml:space="preserve"> : Congés Payés en cours d’acquisition. Ce sont les congés que vous acquérez du 1er juin au 31 mai (2,08 par mois). Ils pourront être pris à partir du 1er juin suivant. Il est possible de les prendre si vous n’avez pas ou plus de CP2. </w:t>
      </w:r>
    </w:p>
    <w:p w:rsidR="008E267B" w:rsidRDefault="008E267B" w:rsidP="008E267B">
      <w:pPr>
        <w:spacing w:before="0" w:after="0"/>
        <w:rPr>
          <w:rFonts w:ascii="Tahoma" w:eastAsia="Verdana" w:hAnsi="Tahoma" w:cs="Tahoma"/>
          <w:u w:color="000000"/>
        </w:rPr>
      </w:pPr>
      <w:r w:rsidRPr="00D51226">
        <w:rPr>
          <w:rFonts w:ascii="Tahoma" w:eastAsia="Verdana" w:hAnsi="Tahoma" w:cs="Tahoma"/>
          <w:b/>
          <w:u w:color="000000"/>
        </w:rPr>
        <w:t>CP2</w:t>
      </w:r>
      <w:r w:rsidRPr="008E267B">
        <w:rPr>
          <w:rFonts w:ascii="Tahoma" w:eastAsia="Verdana" w:hAnsi="Tahoma" w:cs="Tahoma"/>
          <w:u w:color="000000"/>
        </w:rPr>
        <w:t xml:space="preserve"> : Congés Payés Ce sont les congés que vous devez prendre avant le 31 mai suivant.  S’il vous reste un solde </w:t>
      </w:r>
    </w:p>
    <w:p w:rsidR="008E267B" w:rsidRPr="008E267B" w:rsidRDefault="008E267B" w:rsidP="008E267B">
      <w:pPr>
        <w:spacing w:before="0" w:after="0"/>
        <w:rPr>
          <w:rFonts w:ascii="Tahoma" w:eastAsia="Verdana" w:hAnsi="Tahoma" w:cs="Tahoma"/>
          <w:u w:color="000000"/>
        </w:rPr>
      </w:pPr>
      <w:r w:rsidRPr="008E267B">
        <w:rPr>
          <w:rFonts w:ascii="Tahoma" w:eastAsia="Verdana" w:hAnsi="Tahoma" w:cs="Tahoma"/>
          <w:u w:color="000000"/>
        </w:rPr>
        <w:t xml:space="preserve"> Bascule en CET éventuelle, en fonction des dispositions de l’accord CET.  </w:t>
      </w:r>
    </w:p>
    <w:p w:rsidR="008E267B" w:rsidRPr="008E267B" w:rsidRDefault="008E267B" w:rsidP="008E267B">
      <w:pPr>
        <w:spacing w:before="0" w:after="0"/>
        <w:rPr>
          <w:rFonts w:ascii="Tahoma" w:eastAsia="Verdana" w:hAnsi="Tahoma" w:cs="Tahoma"/>
          <w:u w:color="000000"/>
        </w:rPr>
      </w:pPr>
      <w:r w:rsidRPr="008E267B">
        <w:rPr>
          <w:rFonts w:ascii="Tahoma" w:eastAsia="Verdana" w:hAnsi="Tahoma" w:cs="Tahoma"/>
          <w:u w:color="000000"/>
        </w:rPr>
        <w:t xml:space="preserve"> </w:t>
      </w:r>
    </w:p>
    <w:p w:rsidR="008E267B" w:rsidRPr="008E267B" w:rsidRDefault="008E267B" w:rsidP="008E267B">
      <w:pPr>
        <w:spacing w:before="0" w:after="0"/>
        <w:rPr>
          <w:rFonts w:ascii="Tahoma" w:eastAsia="Verdana" w:hAnsi="Tahoma" w:cs="Tahoma"/>
          <w:u w:color="000000"/>
        </w:rPr>
      </w:pPr>
      <w:r w:rsidRPr="00D51226">
        <w:rPr>
          <w:rFonts w:ascii="Tahoma" w:eastAsia="Verdana" w:hAnsi="Tahoma" w:cs="Tahoma"/>
          <w:b/>
          <w:u w:color="000000"/>
        </w:rPr>
        <w:t>CP3</w:t>
      </w:r>
      <w:r w:rsidRPr="008E267B">
        <w:rPr>
          <w:rFonts w:ascii="Tahoma" w:eastAsia="Verdana" w:hAnsi="Tahoma" w:cs="Tahoma"/>
          <w:u w:color="000000"/>
        </w:rPr>
        <w:t xml:space="preserve"> : Congés Payés reportés Uniquement utilisé pour les personnes expatriées.  </w:t>
      </w:r>
    </w:p>
    <w:p w:rsidR="00713906" w:rsidRPr="008E267B" w:rsidRDefault="008E267B" w:rsidP="008E267B">
      <w:pPr>
        <w:spacing w:before="0" w:after="0"/>
        <w:rPr>
          <w:rFonts w:ascii="Tahoma" w:eastAsia="Verdana" w:hAnsi="Tahoma" w:cs="Tahoma"/>
          <w:u w:color="000000"/>
        </w:rPr>
      </w:pPr>
      <w:r w:rsidRPr="008E267B">
        <w:rPr>
          <w:rFonts w:ascii="Tahoma" w:eastAsia="Verdana" w:hAnsi="Tahoma" w:cs="Tahoma"/>
          <w:u w:color="000000"/>
        </w:rPr>
        <w:t>RC : Repos Compensateur (en heures) Acquisition pour les personnes non cadres ayant des heures supplémentaires.</w:t>
      </w:r>
    </w:p>
    <w:p w:rsidR="00713906" w:rsidRDefault="00713906" w:rsidP="00D23E66">
      <w:pPr>
        <w:tabs>
          <w:tab w:val="right" w:pos="16320"/>
        </w:tabs>
        <w:spacing w:after="47"/>
        <w:rPr>
          <w:rFonts w:ascii="Tahoma" w:eastAsia="Verdana" w:hAnsi="Tahoma" w:cs="Tahoma"/>
          <w:b/>
          <w:u w:val="single" w:color="000000"/>
        </w:rPr>
      </w:pPr>
    </w:p>
    <w:p w:rsidR="00E26E51" w:rsidRPr="00D51226" w:rsidRDefault="00E26E51" w:rsidP="00D51226">
      <w:pPr>
        <w:pStyle w:val="Titre1"/>
      </w:pPr>
      <w:bookmarkStart w:id="47" w:name="_Toc6241712"/>
      <w:r w:rsidRPr="00D51226">
        <w:rPr>
          <w:rStyle w:val="normaltextrun"/>
        </w:rPr>
        <w:lastRenderedPageBreak/>
        <w:t xml:space="preserve">Gestion des </w:t>
      </w:r>
      <w:r w:rsidRPr="00D51226">
        <w:rPr>
          <w:rStyle w:val="spellingerror"/>
        </w:rPr>
        <w:t>jours</w:t>
      </w:r>
      <w:r w:rsidRPr="00D51226">
        <w:rPr>
          <w:rStyle w:val="normaltextrun"/>
        </w:rPr>
        <w:t xml:space="preserve"> </w:t>
      </w:r>
      <w:r w:rsidRPr="00D51226">
        <w:rPr>
          <w:rStyle w:val="spellingerror"/>
        </w:rPr>
        <w:t>fériés</w:t>
      </w:r>
      <w:bookmarkEnd w:id="47"/>
      <w:r w:rsidRPr="00D51226">
        <w:rPr>
          <w:rStyle w:val="eop"/>
        </w:rPr>
        <w:t> </w:t>
      </w:r>
    </w:p>
    <w:p w:rsidR="00E26E51" w:rsidRDefault="00E26E51" w:rsidP="00E26E51">
      <w:pPr>
        <w:pStyle w:val="paragraph"/>
        <w:spacing w:before="0" w:beforeAutospacing="0" w:after="0" w:afterAutospacing="0"/>
        <w:jc w:val="both"/>
        <w:textAlignment w:val="baseline"/>
        <w:rPr>
          <w:rFonts w:ascii="Verdana" w:hAnsi="Verdana"/>
          <w:color w:val="000000"/>
          <w:sz w:val="22"/>
          <w:szCs w:val="22"/>
        </w:rPr>
      </w:pPr>
      <w:r>
        <w:rPr>
          <w:rStyle w:val="eop"/>
          <w:rFonts w:ascii="Arial" w:hAnsi="Arial" w:cs="Arial"/>
          <w:color w:val="000000"/>
        </w:rPr>
        <w:t> </w:t>
      </w:r>
    </w:p>
    <w:p w:rsidR="00D51226" w:rsidRPr="00D51226" w:rsidRDefault="00E26E51" w:rsidP="00E26E51">
      <w:pPr>
        <w:pStyle w:val="paragraph"/>
        <w:spacing w:before="0" w:beforeAutospacing="0" w:after="0" w:afterAutospacing="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Les jours fériés sont les suivants : </w:t>
      </w:r>
      <w:r w:rsidRPr="00D51226">
        <w:rPr>
          <w:rStyle w:val="eop"/>
          <w:rFonts w:ascii="Arial" w:hAnsi="Arial" w:cs="Arial"/>
          <w:color w:val="000000"/>
          <w:sz w:val="20"/>
          <w:szCs w:val="20"/>
        </w:rPr>
        <w:t> </w:t>
      </w:r>
    </w:p>
    <w:p w:rsidR="00E26E51" w:rsidRPr="00D51226" w:rsidRDefault="00D51226" w:rsidP="00E26E51">
      <w:pPr>
        <w:pStyle w:val="paragraph"/>
        <w:spacing w:before="0" w:beforeAutospacing="0" w:after="0" w:afterAutospacing="0"/>
        <w:jc w:val="both"/>
        <w:textAlignment w:val="baseline"/>
        <w:rPr>
          <w:rFonts w:ascii="Arial" w:hAnsi="Arial" w:cs="Arial"/>
          <w:color w:val="000000"/>
          <w:sz w:val="20"/>
          <w:szCs w:val="20"/>
        </w:rPr>
      </w:pPr>
      <w:r w:rsidRPr="00D51226">
        <w:rPr>
          <w:rFonts w:ascii="Arial" w:hAnsi="Arial" w:cs="Arial"/>
          <w:noProof/>
          <w:sz w:val="20"/>
          <w:szCs w:val="20"/>
        </w:rPr>
        <w:drawing>
          <wp:anchor distT="0" distB="0" distL="114300" distR="114300" simplePos="0" relativeHeight="251709440" behindDoc="0" locked="0" layoutInCell="1" allowOverlap="1">
            <wp:simplePos x="0" y="0"/>
            <wp:positionH relativeFrom="column">
              <wp:posOffset>3373120</wp:posOffset>
            </wp:positionH>
            <wp:positionV relativeFrom="paragraph">
              <wp:posOffset>57785</wp:posOffset>
            </wp:positionV>
            <wp:extent cx="2324016" cy="1707515"/>
            <wp:effectExtent l="0" t="0" r="635" b="6985"/>
            <wp:wrapNone/>
            <wp:docPr id="516" name="Image 516" descr="canstock2308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stock23084841"/>
                    <pic:cNvPicPr>
                      <a:picLocks noChangeAspect="1" noChangeArrowheads="1"/>
                    </pic:cNvPicPr>
                  </pic:nvPicPr>
                  <pic:blipFill>
                    <a:blip r:embed="rId46">
                      <a:extLst>
                        <a:ext uri="{28A0092B-C50C-407E-A947-70E740481C1C}">
                          <a14:useLocalDpi xmlns:a14="http://schemas.microsoft.com/office/drawing/2010/main" val="0"/>
                        </a:ext>
                      </a:extLst>
                    </a:blip>
                    <a:srcRect b="32269"/>
                    <a:stretch>
                      <a:fillRect/>
                    </a:stretch>
                  </pic:blipFill>
                  <pic:spPr bwMode="auto">
                    <a:xfrm>
                      <a:off x="0" y="0"/>
                      <a:ext cx="2324016" cy="1707515"/>
                    </a:xfrm>
                    <a:prstGeom prst="rect">
                      <a:avLst/>
                    </a:prstGeom>
                    <a:noFill/>
                  </pic:spPr>
                </pic:pic>
              </a:graphicData>
            </a:graphic>
            <wp14:sizeRelH relativeFrom="page">
              <wp14:pctWidth>0</wp14:pctWidth>
            </wp14:sizeRelH>
            <wp14:sizeRelV relativeFrom="page">
              <wp14:pctHeight>0</wp14:pctHeight>
            </wp14:sizeRelV>
          </wp:anchor>
        </w:drawing>
      </w:r>
    </w:p>
    <w:p w:rsidR="00E26E51" w:rsidRPr="00D51226" w:rsidRDefault="00E26E51" w:rsidP="00E26E51">
      <w:pPr>
        <w:pStyle w:val="paragraph"/>
        <w:numPr>
          <w:ilvl w:val="0"/>
          <w:numId w:val="10"/>
        </w:numPr>
        <w:spacing w:before="0" w:beforeAutospacing="0" w:after="0" w:afterAutospacing="0"/>
        <w:ind w:left="360" w:firstLine="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1er Janvier</w:t>
      </w:r>
      <w:r w:rsidRPr="00D51226">
        <w:rPr>
          <w:rStyle w:val="eop"/>
          <w:rFonts w:ascii="Arial" w:hAnsi="Arial" w:cs="Arial"/>
          <w:color w:val="000000"/>
          <w:sz w:val="20"/>
          <w:szCs w:val="20"/>
        </w:rPr>
        <w:t> </w:t>
      </w:r>
    </w:p>
    <w:p w:rsidR="00D51226" w:rsidRPr="00D51226" w:rsidRDefault="00E26E51" w:rsidP="00E26E51">
      <w:pPr>
        <w:pStyle w:val="paragraph"/>
        <w:numPr>
          <w:ilvl w:val="0"/>
          <w:numId w:val="10"/>
        </w:numPr>
        <w:spacing w:before="0" w:beforeAutospacing="0" w:after="0" w:afterAutospacing="0"/>
        <w:ind w:left="360" w:firstLine="0"/>
        <w:jc w:val="both"/>
        <w:textAlignment w:val="baseline"/>
        <w:rPr>
          <w:rStyle w:val="eop"/>
          <w:rFonts w:ascii="Arial" w:hAnsi="Arial" w:cs="Arial"/>
          <w:color w:val="000000"/>
          <w:sz w:val="20"/>
          <w:szCs w:val="20"/>
        </w:rPr>
      </w:pPr>
      <w:r w:rsidRPr="00D51226">
        <w:rPr>
          <w:rStyle w:val="normaltextrun"/>
          <w:rFonts w:ascii="Arial" w:hAnsi="Arial" w:cs="Arial"/>
          <w:color w:val="000000"/>
          <w:sz w:val="20"/>
          <w:szCs w:val="20"/>
        </w:rPr>
        <w:t>Lundi de Pâques</w:t>
      </w:r>
      <w:r w:rsidRPr="00D51226">
        <w:rPr>
          <w:rStyle w:val="eop"/>
          <w:rFonts w:ascii="Arial" w:hAnsi="Arial" w:cs="Arial"/>
          <w:color w:val="000000"/>
          <w:sz w:val="20"/>
          <w:szCs w:val="20"/>
        </w:rPr>
        <w:t> </w:t>
      </w:r>
    </w:p>
    <w:p w:rsidR="00D51226" w:rsidRPr="00D51226" w:rsidRDefault="00D51226" w:rsidP="00D51226">
      <w:pPr>
        <w:pStyle w:val="paragraph"/>
        <w:numPr>
          <w:ilvl w:val="0"/>
          <w:numId w:val="10"/>
        </w:numPr>
        <w:spacing w:before="0" w:beforeAutospacing="0" w:after="0" w:afterAutospacing="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1er Mai</w:t>
      </w:r>
      <w:r w:rsidRPr="00D51226">
        <w:rPr>
          <w:rStyle w:val="eop"/>
          <w:rFonts w:ascii="Arial" w:hAnsi="Arial" w:cs="Arial"/>
          <w:color w:val="000000"/>
          <w:sz w:val="20"/>
          <w:szCs w:val="20"/>
        </w:rPr>
        <w:t> </w:t>
      </w:r>
    </w:p>
    <w:p w:rsidR="00E26E51" w:rsidRPr="00D51226" w:rsidRDefault="00E26E51" w:rsidP="00E26E51">
      <w:pPr>
        <w:pStyle w:val="paragraph"/>
        <w:numPr>
          <w:ilvl w:val="0"/>
          <w:numId w:val="10"/>
        </w:numPr>
        <w:spacing w:before="0" w:beforeAutospacing="0" w:after="0" w:afterAutospacing="0"/>
        <w:ind w:left="360" w:firstLine="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8 Mai</w:t>
      </w:r>
      <w:r w:rsidRPr="00D51226">
        <w:rPr>
          <w:rStyle w:val="eop"/>
          <w:rFonts w:ascii="Arial" w:hAnsi="Arial" w:cs="Arial"/>
          <w:color w:val="000000"/>
          <w:sz w:val="20"/>
          <w:szCs w:val="20"/>
        </w:rPr>
        <w:t> </w:t>
      </w:r>
    </w:p>
    <w:p w:rsidR="00E26E51" w:rsidRPr="00D51226" w:rsidRDefault="00E26E51" w:rsidP="00E26E51">
      <w:pPr>
        <w:pStyle w:val="paragraph"/>
        <w:numPr>
          <w:ilvl w:val="0"/>
          <w:numId w:val="11"/>
        </w:numPr>
        <w:spacing w:before="0" w:beforeAutospacing="0" w:after="0" w:afterAutospacing="0"/>
        <w:ind w:left="360" w:firstLine="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Lundi de Pentecôte</w:t>
      </w:r>
      <w:r w:rsidRPr="00D51226">
        <w:rPr>
          <w:rStyle w:val="eop"/>
          <w:rFonts w:ascii="Arial" w:hAnsi="Arial" w:cs="Arial"/>
          <w:color w:val="000000"/>
          <w:sz w:val="20"/>
          <w:szCs w:val="20"/>
        </w:rPr>
        <w:t> </w:t>
      </w:r>
    </w:p>
    <w:p w:rsidR="00E26E51" w:rsidRPr="00D51226" w:rsidRDefault="00E26E51" w:rsidP="00E26E51">
      <w:pPr>
        <w:pStyle w:val="paragraph"/>
        <w:numPr>
          <w:ilvl w:val="0"/>
          <w:numId w:val="11"/>
        </w:numPr>
        <w:spacing w:before="0" w:beforeAutospacing="0" w:after="0" w:afterAutospacing="0"/>
        <w:ind w:left="360" w:firstLine="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14 Juillet</w:t>
      </w:r>
      <w:r w:rsidRPr="00D51226">
        <w:rPr>
          <w:rStyle w:val="eop"/>
          <w:rFonts w:ascii="Arial" w:hAnsi="Arial" w:cs="Arial"/>
          <w:color w:val="000000"/>
          <w:sz w:val="20"/>
          <w:szCs w:val="20"/>
        </w:rPr>
        <w:t> </w:t>
      </w:r>
    </w:p>
    <w:p w:rsidR="00E26E51" w:rsidRPr="00D51226" w:rsidRDefault="00E26E51" w:rsidP="00D51226">
      <w:pPr>
        <w:pStyle w:val="paragraph"/>
        <w:numPr>
          <w:ilvl w:val="0"/>
          <w:numId w:val="11"/>
        </w:numPr>
        <w:spacing w:before="0" w:beforeAutospacing="0" w:after="0" w:afterAutospacing="0"/>
        <w:ind w:left="360" w:firstLine="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15 Août</w:t>
      </w:r>
      <w:r w:rsidRPr="00D51226">
        <w:rPr>
          <w:rStyle w:val="eop"/>
          <w:rFonts w:ascii="Arial" w:hAnsi="Arial" w:cs="Arial"/>
          <w:color w:val="000000"/>
          <w:sz w:val="20"/>
          <w:szCs w:val="20"/>
        </w:rPr>
        <w:t> </w:t>
      </w:r>
    </w:p>
    <w:p w:rsidR="00E26E51" w:rsidRPr="00D51226" w:rsidRDefault="00E26E51" w:rsidP="00E26E51">
      <w:pPr>
        <w:pStyle w:val="paragraph"/>
        <w:numPr>
          <w:ilvl w:val="0"/>
          <w:numId w:val="11"/>
        </w:numPr>
        <w:spacing w:before="0" w:beforeAutospacing="0" w:after="0" w:afterAutospacing="0"/>
        <w:ind w:left="360" w:firstLine="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1er Novembre</w:t>
      </w:r>
      <w:r w:rsidRPr="00D51226">
        <w:rPr>
          <w:rStyle w:val="eop"/>
          <w:rFonts w:ascii="Arial" w:hAnsi="Arial" w:cs="Arial"/>
          <w:color w:val="000000"/>
          <w:sz w:val="20"/>
          <w:szCs w:val="20"/>
        </w:rPr>
        <w:t> </w:t>
      </w:r>
    </w:p>
    <w:p w:rsidR="00E26E51" w:rsidRPr="00D51226" w:rsidRDefault="00E26E51" w:rsidP="00E26E51">
      <w:pPr>
        <w:pStyle w:val="paragraph"/>
        <w:numPr>
          <w:ilvl w:val="0"/>
          <w:numId w:val="11"/>
        </w:numPr>
        <w:spacing w:before="0" w:beforeAutospacing="0" w:after="0" w:afterAutospacing="0"/>
        <w:ind w:left="360" w:firstLine="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11 Novembre</w:t>
      </w:r>
      <w:r w:rsidRPr="00D51226">
        <w:rPr>
          <w:rStyle w:val="eop"/>
          <w:rFonts w:ascii="Arial" w:hAnsi="Arial" w:cs="Arial"/>
          <w:color w:val="000000"/>
          <w:sz w:val="20"/>
          <w:szCs w:val="20"/>
        </w:rPr>
        <w:t> </w:t>
      </w:r>
    </w:p>
    <w:p w:rsidR="00E26E51" w:rsidRPr="00D51226" w:rsidRDefault="00E26E51" w:rsidP="00E26E51">
      <w:pPr>
        <w:pStyle w:val="paragraph"/>
        <w:numPr>
          <w:ilvl w:val="0"/>
          <w:numId w:val="12"/>
        </w:numPr>
        <w:spacing w:before="0" w:beforeAutospacing="0" w:after="0" w:afterAutospacing="0"/>
        <w:ind w:left="360" w:firstLine="0"/>
        <w:jc w:val="both"/>
        <w:textAlignment w:val="baseline"/>
        <w:rPr>
          <w:rFonts w:ascii="Arial" w:hAnsi="Arial" w:cs="Arial"/>
          <w:color w:val="000000"/>
          <w:sz w:val="20"/>
          <w:szCs w:val="20"/>
        </w:rPr>
      </w:pPr>
      <w:r w:rsidRPr="00D51226">
        <w:rPr>
          <w:rStyle w:val="normaltextrun"/>
          <w:rFonts w:ascii="Arial" w:hAnsi="Arial" w:cs="Arial"/>
          <w:color w:val="000000"/>
          <w:sz w:val="20"/>
          <w:szCs w:val="20"/>
        </w:rPr>
        <w:t>25 Décembre</w:t>
      </w:r>
      <w:r w:rsidRPr="00D51226">
        <w:rPr>
          <w:rStyle w:val="eop"/>
          <w:rFonts w:ascii="Arial" w:hAnsi="Arial" w:cs="Arial"/>
          <w:color w:val="000000"/>
          <w:sz w:val="20"/>
          <w:szCs w:val="20"/>
        </w:rPr>
        <w:t> </w:t>
      </w:r>
    </w:p>
    <w:p w:rsidR="005D3A6D" w:rsidRDefault="005D3A6D" w:rsidP="00D23E66">
      <w:pPr>
        <w:tabs>
          <w:tab w:val="right" w:pos="16320"/>
        </w:tabs>
        <w:spacing w:after="47"/>
        <w:rPr>
          <w:rFonts w:ascii="Tahoma" w:eastAsia="Verdana" w:hAnsi="Tahoma" w:cs="Tahoma"/>
          <w:b/>
          <w:u w:val="single" w:color="000000"/>
        </w:rPr>
      </w:pPr>
    </w:p>
    <w:p w:rsidR="00806FA7" w:rsidRDefault="00806FA7" w:rsidP="00D23E66">
      <w:pPr>
        <w:tabs>
          <w:tab w:val="right" w:pos="16320"/>
        </w:tabs>
        <w:spacing w:after="47"/>
        <w:rPr>
          <w:rFonts w:ascii="Tahoma" w:eastAsia="Verdana" w:hAnsi="Tahoma" w:cs="Tahoma"/>
          <w:b/>
          <w:u w:val="single" w:color="000000"/>
        </w:rPr>
      </w:pPr>
    </w:p>
    <w:p w:rsidR="00806FA7" w:rsidRDefault="00806FA7" w:rsidP="00D23E66">
      <w:pPr>
        <w:tabs>
          <w:tab w:val="right" w:pos="16320"/>
        </w:tabs>
        <w:spacing w:after="47"/>
        <w:rPr>
          <w:rFonts w:ascii="Tahoma" w:eastAsia="Verdana" w:hAnsi="Tahoma" w:cs="Tahoma"/>
          <w:b/>
          <w:u w:val="single" w:color="000000"/>
        </w:rPr>
      </w:pPr>
    </w:p>
    <w:p w:rsidR="00806FA7" w:rsidRDefault="00806FA7" w:rsidP="00D23E66">
      <w:pPr>
        <w:tabs>
          <w:tab w:val="right" w:pos="16320"/>
        </w:tabs>
        <w:spacing w:after="47"/>
        <w:rPr>
          <w:rFonts w:ascii="Tahoma" w:eastAsia="Verdana" w:hAnsi="Tahoma" w:cs="Tahoma"/>
          <w:b/>
          <w:u w:val="single" w:color="000000"/>
        </w:rPr>
      </w:pPr>
    </w:p>
    <w:p w:rsidR="009556CF" w:rsidRDefault="009556CF" w:rsidP="009556CF">
      <w:pPr>
        <w:pStyle w:val="paragraph"/>
        <w:spacing w:before="0" w:beforeAutospacing="0" w:after="0" w:afterAutospacing="0"/>
        <w:ind w:left="240"/>
        <w:jc w:val="both"/>
        <w:textAlignment w:val="baseline"/>
        <w:rPr>
          <w:rFonts w:ascii="&amp;quot" w:hAnsi="&amp;quot"/>
          <w:color w:val="000000"/>
          <w:sz w:val="18"/>
          <w:szCs w:val="18"/>
        </w:rPr>
      </w:pPr>
    </w:p>
    <w:p w:rsidR="005D3A6D" w:rsidRDefault="005D3A6D" w:rsidP="00D23E66">
      <w:pPr>
        <w:tabs>
          <w:tab w:val="right" w:pos="16320"/>
        </w:tabs>
        <w:spacing w:after="47"/>
        <w:rPr>
          <w:rFonts w:ascii="Tahoma" w:eastAsia="Verdana" w:hAnsi="Tahoma" w:cs="Tahoma"/>
          <w:b/>
          <w:u w:val="single" w:color="000000"/>
        </w:rPr>
      </w:pPr>
    </w:p>
    <w:p w:rsidR="009B3476" w:rsidRDefault="009B3476" w:rsidP="00D23E66">
      <w:pPr>
        <w:tabs>
          <w:tab w:val="right" w:pos="16320"/>
        </w:tabs>
        <w:spacing w:after="47"/>
        <w:rPr>
          <w:rFonts w:ascii="Tahoma" w:eastAsia="Verdana" w:hAnsi="Tahoma" w:cs="Tahoma"/>
          <w:b/>
          <w:u w:val="single" w:color="000000"/>
        </w:rPr>
      </w:pPr>
    </w:p>
    <w:p w:rsidR="00E572AB" w:rsidRPr="00E572AB" w:rsidRDefault="00D51226" w:rsidP="00E572AB">
      <w:pPr>
        <w:tabs>
          <w:tab w:val="right" w:pos="16320"/>
        </w:tabs>
        <w:spacing w:after="47" w:line="259" w:lineRule="auto"/>
        <w:rPr>
          <w:rFonts w:ascii="Tahoma" w:eastAsia="Verdana" w:hAnsi="Tahoma" w:cs="Tahoma"/>
          <w:b/>
          <w:color w:val="FF0000"/>
          <w:u w:val="single" w:color="000000"/>
        </w:rPr>
        <w:sectPr w:rsidR="00E572AB" w:rsidRPr="00E572AB" w:rsidSect="005E0674">
          <w:footerReference w:type="default" r:id="rId47"/>
          <w:pgSz w:w="11906" w:h="16838"/>
          <w:pgMar w:top="720" w:right="720" w:bottom="720" w:left="720" w:header="720" w:footer="290" w:gutter="0"/>
          <w:pgNumType w:start="0"/>
          <w:cols w:space="720"/>
          <w:titlePg/>
          <w:docGrid w:linePitch="299"/>
        </w:sectPr>
      </w:pPr>
      <w:r w:rsidRPr="005E7F8B">
        <w:rPr>
          <w:rFonts w:ascii="Tahoma" w:hAnsi="Tahoma" w:cs="Tahoma"/>
          <w:noProof/>
        </w:rPr>
        <w:drawing>
          <wp:anchor distT="0" distB="0" distL="114300" distR="114300" simplePos="0" relativeHeight="251723776" behindDoc="0" locked="0" layoutInCell="1" allowOverlap="1" wp14:anchorId="54B4B241">
            <wp:simplePos x="457200" y="9591675"/>
            <wp:positionH relativeFrom="margin">
              <wp:align>center</wp:align>
            </wp:positionH>
            <wp:positionV relativeFrom="margin">
              <wp:align>bottom</wp:align>
            </wp:positionV>
            <wp:extent cx="4887596" cy="382270"/>
            <wp:effectExtent l="0" t="0" r="8255" b="0"/>
            <wp:wrapSquare wrapText="bothSides"/>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48">
                      <a:extLst>
                        <a:ext uri="{28A0092B-C50C-407E-A947-70E740481C1C}">
                          <a14:useLocalDpi xmlns:a14="http://schemas.microsoft.com/office/drawing/2010/main" val="0"/>
                        </a:ext>
                      </a:extLst>
                    </a:blip>
                    <a:stretch>
                      <a:fillRect/>
                    </a:stretch>
                  </pic:blipFill>
                  <pic:spPr>
                    <a:xfrm>
                      <a:off x="0" y="0"/>
                      <a:ext cx="4887596" cy="382270"/>
                    </a:xfrm>
                    <a:prstGeom prst="rect">
                      <a:avLst/>
                    </a:prstGeom>
                  </pic:spPr>
                </pic:pic>
              </a:graphicData>
            </a:graphic>
          </wp:anchor>
        </w:drawing>
      </w:r>
    </w:p>
    <w:p w:rsidR="00D23E66" w:rsidRPr="005E7F8B" w:rsidRDefault="00D23E66" w:rsidP="00D23E66">
      <w:pPr>
        <w:spacing w:line="259" w:lineRule="auto"/>
        <w:ind w:hanging="10"/>
        <w:jc w:val="center"/>
        <w:rPr>
          <w:rFonts w:ascii="Tahoma" w:hAnsi="Tahoma" w:cs="Tahoma"/>
        </w:rPr>
        <w:sectPr w:rsidR="00D23E66" w:rsidRPr="005E7F8B" w:rsidSect="00223A3D">
          <w:pgSz w:w="11906" w:h="16838"/>
          <w:pgMar w:top="311" w:right="198" w:bottom="233" w:left="130" w:header="720" w:footer="290" w:gutter="0"/>
          <w:cols w:space="720"/>
          <w:docGrid w:linePitch="299"/>
        </w:sectPr>
      </w:pPr>
    </w:p>
    <w:p w:rsidR="00A41E68" w:rsidRDefault="00A41E68"/>
    <w:sectPr w:rsidR="00A41E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4C3A" w:rsidRDefault="00F04C3A" w:rsidP="00C41E49">
      <w:pPr>
        <w:spacing w:before="0" w:after="0" w:line="240" w:lineRule="auto"/>
      </w:pPr>
      <w:r>
        <w:separator/>
      </w:r>
    </w:p>
  </w:endnote>
  <w:endnote w:type="continuationSeparator" w:id="0">
    <w:p w:rsidR="00F04C3A" w:rsidRDefault="00F04C3A" w:rsidP="00C41E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stom">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Tw Cen MT">
    <w:altName w:val="Tw Cen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mp;quot">
    <w:altName w:val="Cambria"/>
    <w:charset w:val="00"/>
    <w:family w:val="roman"/>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DaxOT-Cond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254170"/>
      <w:docPartObj>
        <w:docPartGallery w:val="Page Numbers (Bottom of Page)"/>
        <w:docPartUnique/>
      </w:docPartObj>
    </w:sdtPr>
    <w:sdtEndPr/>
    <w:sdtContent>
      <w:p w:rsidR="00984954" w:rsidRDefault="00984954">
        <w:pPr>
          <w:pStyle w:val="Pieddepage"/>
        </w:pPr>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ge">
                    <wp:align>bottom</wp:align>
                  </wp:positionV>
                  <wp:extent cx="436880" cy="716915"/>
                  <wp:effectExtent l="7620" t="9525" r="12700" b="6985"/>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4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4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84954" w:rsidRDefault="00984954">
                                <w:pPr>
                                  <w:pStyle w:val="Pieddepage"/>
                                  <w:jc w:val="center"/>
                                  <w:rPr>
                                    <w:sz w:val="16"/>
                                    <w:szCs w:val="16"/>
                                  </w:rP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23" o:spid="_x0000_s1031"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">
                  <v:shapetype id="_x0000_t32" coordsize="21600,21600" o:spt="32" o:oned="t" path="m,l21600,21600e" filled="f">
                    <v:path arrowok="t" fillok="f" o:connecttype="none"/>
                    <o:lock v:ext="edit" shapetype="t"/>
                  </v:shapetype>
                  <v:shape id="AutoShape 77" o:spid="_x0000_s103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" strokecolor="#7f7f7f"/>
                  <v:rect id="Rectangle 78" o:spid="_x0000_s103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" filled="f" strokecolor="#7f7f7f">
                    <v:textbox>
                      <w:txbxContent>
                        <w:p w:rsidR="00984954" w:rsidRDefault="00984954">
                          <w:pPr>
                            <w:pStyle w:val="Pieddepage"/>
                            <w:jc w:val="center"/>
                            <w:rPr>
                              <w:sz w:val="16"/>
                              <w:szCs w:val="16"/>
                            </w:rP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4C3A" w:rsidRDefault="00F04C3A" w:rsidP="00C41E49">
      <w:pPr>
        <w:spacing w:before="0" w:after="0" w:line="240" w:lineRule="auto"/>
      </w:pPr>
      <w:r>
        <w:separator/>
      </w:r>
    </w:p>
  </w:footnote>
  <w:footnote w:type="continuationSeparator" w:id="0">
    <w:p w:rsidR="00F04C3A" w:rsidRDefault="00F04C3A" w:rsidP="00C41E4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http://www.elnet.fr/documentation/hulkStatic/EL/sharp_TRANSVERSE/www/html/icons/carreGDP15.gif" style="width:10.5pt;height:5.25pt;visibility:visible" o:bullet="t">
        <v:imagedata r:id="rId1" o:title="carreGDP15"/>
      </v:shape>
    </w:pict>
  </w:numPicBullet>
  <w:abstractNum w:abstractNumId="0" w15:restartNumberingAfterBreak="0">
    <w:nsid w:val="01A40DBF"/>
    <w:multiLevelType w:val="hybridMultilevel"/>
    <w:tmpl w:val="05CE0536"/>
    <w:lvl w:ilvl="0" w:tplc="1E58630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51842"/>
    <w:multiLevelType w:val="multilevel"/>
    <w:tmpl w:val="C4EE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93423"/>
    <w:multiLevelType w:val="multilevel"/>
    <w:tmpl w:val="AAEA8714"/>
    <w:lvl w:ilvl="0">
      <w:start w:val="1"/>
      <w:numFmt w:val="lowerLetter"/>
      <w:lvlText w:val="%1)"/>
      <w:lvlJc w:val="left"/>
      <w:pPr>
        <w:ind w:left="720" w:hanging="360"/>
      </w:pPr>
      <w:rPr>
        <w:rFonts w:ascii="Alstom" w:hAnsi="Alstom" w:cs="Alstom"/>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361BC7"/>
    <w:multiLevelType w:val="multilevel"/>
    <w:tmpl w:val="D2E2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0B656B"/>
    <w:multiLevelType w:val="hybridMultilevel"/>
    <w:tmpl w:val="F4B6A948"/>
    <w:lvl w:ilvl="0" w:tplc="C9AA12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4F6CA5"/>
    <w:multiLevelType w:val="hybridMultilevel"/>
    <w:tmpl w:val="6FB4C54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6BA022C"/>
    <w:multiLevelType w:val="multilevel"/>
    <w:tmpl w:val="F6C2F5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582F09"/>
    <w:multiLevelType w:val="hybridMultilevel"/>
    <w:tmpl w:val="E8F6B3F8"/>
    <w:lvl w:ilvl="0" w:tplc="1E586302">
      <w:start w:val="1"/>
      <w:numFmt w:val="bullet"/>
      <w:lvlText w:val=""/>
      <w:lvlPicBulletId w:val="0"/>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8" w15:restartNumberingAfterBreak="0">
    <w:nsid w:val="26F54C43"/>
    <w:multiLevelType w:val="multilevel"/>
    <w:tmpl w:val="ECCE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372146"/>
    <w:multiLevelType w:val="hybridMultilevel"/>
    <w:tmpl w:val="8668DA22"/>
    <w:lvl w:ilvl="0" w:tplc="0A582E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08C5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D09A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54B7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B258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705B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306F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1639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42E2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9FD08CF"/>
    <w:multiLevelType w:val="multilevel"/>
    <w:tmpl w:val="31806630"/>
    <w:styleLink w:val="LFO14"/>
    <w:lvl w:ilvl="0">
      <w:numFmt w:val="bullet"/>
      <w:pStyle w:val="Listepuces"/>
      <w:lvlText w:val=""/>
      <w:lvlJc w:val="left"/>
      <w:pPr>
        <w:ind w:left="360" w:hanging="360"/>
      </w:pPr>
      <w:rPr>
        <w:rFonts w:ascii="Symbol" w:hAnsi="Symbol"/>
        <w:color w:val="2B7471"/>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44E43B6"/>
    <w:multiLevelType w:val="multilevel"/>
    <w:tmpl w:val="D180A3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CE6B67"/>
    <w:multiLevelType w:val="multilevel"/>
    <w:tmpl w:val="270A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0641CE"/>
    <w:multiLevelType w:val="multilevel"/>
    <w:tmpl w:val="6D9A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D539B5"/>
    <w:multiLevelType w:val="hybridMultilevel"/>
    <w:tmpl w:val="33BC0744"/>
    <w:lvl w:ilvl="0" w:tplc="1248D9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5811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18A9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5C1D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18B3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384C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1229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18C4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1CC8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F280527"/>
    <w:multiLevelType w:val="hybridMultilevel"/>
    <w:tmpl w:val="D2EE7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117B21"/>
    <w:multiLevelType w:val="multilevel"/>
    <w:tmpl w:val="ED6C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94799B"/>
    <w:multiLevelType w:val="hybridMultilevel"/>
    <w:tmpl w:val="0D32B190"/>
    <w:lvl w:ilvl="0" w:tplc="811A255E">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46715A">
      <w:start w:val="1"/>
      <w:numFmt w:val="bullet"/>
      <w:lvlText w:val="o"/>
      <w:lvlJc w:val="left"/>
      <w:pPr>
        <w:ind w:left="1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800EDC">
      <w:start w:val="1"/>
      <w:numFmt w:val="bullet"/>
      <w:lvlText w:val="▪"/>
      <w:lvlJc w:val="left"/>
      <w:pPr>
        <w:ind w:left="1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56E9C4">
      <w:start w:val="1"/>
      <w:numFmt w:val="bullet"/>
      <w:lvlText w:val="•"/>
      <w:lvlJc w:val="left"/>
      <w:pPr>
        <w:ind w:left="2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2677E">
      <w:start w:val="1"/>
      <w:numFmt w:val="bullet"/>
      <w:lvlText w:val="o"/>
      <w:lvlJc w:val="left"/>
      <w:pPr>
        <w:ind w:left="3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924876">
      <w:start w:val="1"/>
      <w:numFmt w:val="bullet"/>
      <w:lvlText w:val="▪"/>
      <w:lvlJc w:val="left"/>
      <w:pPr>
        <w:ind w:left="4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A642B6">
      <w:start w:val="1"/>
      <w:numFmt w:val="bullet"/>
      <w:lvlText w:val="•"/>
      <w:lvlJc w:val="left"/>
      <w:pPr>
        <w:ind w:left="4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E0E20">
      <w:start w:val="1"/>
      <w:numFmt w:val="bullet"/>
      <w:lvlText w:val="o"/>
      <w:lvlJc w:val="left"/>
      <w:pPr>
        <w:ind w:left="5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EE3FFC">
      <w:start w:val="1"/>
      <w:numFmt w:val="bullet"/>
      <w:lvlText w:val="▪"/>
      <w:lvlJc w:val="left"/>
      <w:pPr>
        <w:ind w:left="6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0421A9E"/>
    <w:multiLevelType w:val="multilevel"/>
    <w:tmpl w:val="8CAE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012C9D"/>
    <w:multiLevelType w:val="hybridMultilevel"/>
    <w:tmpl w:val="8FBCA2FC"/>
    <w:lvl w:ilvl="0" w:tplc="3CDE8128">
      <w:start w:val="1"/>
      <w:numFmt w:val="bullet"/>
      <w:lvlText w:val="-"/>
      <w:lvlJc w:val="left"/>
      <w:pPr>
        <w:ind w:left="1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658E931A">
      <w:start w:val="1"/>
      <w:numFmt w:val="bullet"/>
      <w:lvlText w:val="o"/>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CC5C9700">
      <w:start w:val="1"/>
      <w:numFmt w:val="bullet"/>
      <w:lvlText w:val="▪"/>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418ABE02">
      <w:start w:val="1"/>
      <w:numFmt w:val="bullet"/>
      <w:lvlText w:val="•"/>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C818C724">
      <w:start w:val="1"/>
      <w:numFmt w:val="bullet"/>
      <w:lvlText w:val="o"/>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41EC67C6">
      <w:start w:val="1"/>
      <w:numFmt w:val="bullet"/>
      <w:lvlText w:val="▪"/>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ADFE7456">
      <w:start w:val="1"/>
      <w:numFmt w:val="bullet"/>
      <w:lvlText w:val="•"/>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A6BA96EC">
      <w:start w:val="1"/>
      <w:numFmt w:val="bullet"/>
      <w:lvlText w:val="o"/>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726C31FA">
      <w:start w:val="1"/>
      <w:numFmt w:val="bullet"/>
      <w:lvlText w:val="▪"/>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B2713C0"/>
    <w:multiLevelType w:val="multilevel"/>
    <w:tmpl w:val="B3EE64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9B1279"/>
    <w:multiLevelType w:val="hybridMultilevel"/>
    <w:tmpl w:val="ADCCD6A8"/>
    <w:lvl w:ilvl="0" w:tplc="1E586302">
      <w:start w:val="1"/>
      <w:numFmt w:val="bullet"/>
      <w:lvlText w:val=""/>
      <w:lvlPicBulletId w:val="0"/>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2" w15:restartNumberingAfterBreak="0">
    <w:nsid w:val="7465093F"/>
    <w:multiLevelType w:val="hybridMultilevel"/>
    <w:tmpl w:val="BD062614"/>
    <w:lvl w:ilvl="0" w:tplc="1E586302">
      <w:start w:val="1"/>
      <w:numFmt w:val="bullet"/>
      <w:lvlText w:val=""/>
      <w:lvlPicBulletId w:val="0"/>
      <w:lvlJc w:val="left"/>
      <w:pPr>
        <w:tabs>
          <w:tab w:val="num" w:pos="720"/>
        </w:tabs>
        <w:ind w:left="720" w:hanging="360"/>
      </w:pPr>
      <w:rPr>
        <w:rFonts w:ascii="Symbol" w:hAnsi="Symbol" w:hint="default"/>
      </w:rPr>
    </w:lvl>
    <w:lvl w:ilvl="1" w:tplc="B2364062" w:tentative="1">
      <w:start w:val="1"/>
      <w:numFmt w:val="bullet"/>
      <w:lvlText w:val=""/>
      <w:lvlJc w:val="left"/>
      <w:pPr>
        <w:tabs>
          <w:tab w:val="num" w:pos="1440"/>
        </w:tabs>
        <w:ind w:left="1440" w:hanging="360"/>
      </w:pPr>
      <w:rPr>
        <w:rFonts w:ascii="Symbol" w:hAnsi="Symbol" w:hint="default"/>
      </w:rPr>
    </w:lvl>
    <w:lvl w:ilvl="2" w:tplc="5CF0D3CE" w:tentative="1">
      <w:start w:val="1"/>
      <w:numFmt w:val="bullet"/>
      <w:lvlText w:val=""/>
      <w:lvlJc w:val="left"/>
      <w:pPr>
        <w:tabs>
          <w:tab w:val="num" w:pos="2160"/>
        </w:tabs>
        <w:ind w:left="2160" w:hanging="360"/>
      </w:pPr>
      <w:rPr>
        <w:rFonts w:ascii="Symbol" w:hAnsi="Symbol" w:hint="default"/>
      </w:rPr>
    </w:lvl>
    <w:lvl w:ilvl="3" w:tplc="2FBE094E" w:tentative="1">
      <w:start w:val="1"/>
      <w:numFmt w:val="bullet"/>
      <w:lvlText w:val=""/>
      <w:lvlJc w:val="left"/>
      <w:pPr>
        <w:tabs>
          <w:tab w:val="num" w:pos="2880"/>
        </w:tabs>
        <w:ind w:left="2880" w:hanging="360"/>
      </w:pPr>
      <w:rPr>
        <w:rFonts w:ascii="Symbol" w:hAnsi="Symbol" w:hint="default"/>
      </w:rPr>
    </w:lvl>
    <w:lvl w:ilvl="4" w:tplc="44FCF05E" w:tentative="1">
      <w:start w:val="1"/>
      <w:numFmt w:val="bullet"/>
      <w:lvlText w:val=""/>
      <w:lvlJc w:val="left"/>
      <w:pPr>
        <w:tabs>
          <w:tab w:val="num" w:pos="3600"/>
        </w:tabs>
        <w:ind w:left="3600" w:hanging="360"/>
      </w:pPr>
      <w:rPr>
        <w:rFonts w:ascii="Symbol" w:hAnsi="Symbol" w:hint="default"/>
      </w:rPr>
    </w:lvl>
    <w:lvl w:ilvl="5" w:tplc="F78A35EE" w:tentative="1">
      <w:start w:val="1"/>
      <w:numFmt w:val="bullet"/>
      <w:lvlText w:val=""/>
      <w:lvlJc w:val="left"/>
      <w:pPr>
        <w:tabs>
          <w:tab w:val="num" w:pos="4320"/>
        </w:tabs>
        <w:ind w:left="4320" w:hanging="360"/>
      </w:pPr>
      <w:rPr>
        <w:rFonts w:ascii="Symbol" w:hAnsi="Symbol" w:hint="default"/>
      </w:rPr>
    </w:lvl>
    <w:lvl w:ilvl="6" w:tplc="4B125DC8" w:tentative="1">
      <w:start w:val="1"/>
      <w:numFmt w:val="bullet"/>
      <w:lvlText w:val=""/>
      <w:lvlJc w:val="left"/>
      <w:pPr>
        <w:tabs>
          <w:tab w:val="num" w:pos="5040"/>
        </w:tabs>
        <w:ind w:left="5040" w:hanging="360"/>
      </w:pPr>
      <w:rPr>
        <w:rFonts w:ascii="Symbol" w:hAnsi="Symbol" w:hint="default"/>
      </w:rPr>
    </w:lvl>
    <w:lvl w:ilvl="7" w:tplc="18E2F9DA" w:tentative="1">
      <w:start w:val="1"/>
      <w:numFmt w:val="bullet"/>
      <w:lvlText w:val=""/>
      <w:lvlJc w:val="left"/>
      <w:pPr>
        <w:tabs>
          <w:tab w:val="num" w:pos="5760"/>
        </w:tabs>
        <w:ind w:left="5760" w:hanging="360"/>
      </w:pPr>
      <w:rPr>
        <w:rFonts w:ascii="Symbol" w:hAnsi="Symbol" w:hint="default"/>
      </w:rPr>
    </w:lvl>
    <w:lvl w:ilvl="8" w:tplc="BF128FE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715415F"/>
    <w:multiLevelType w:val="multilevel"/>
    <w:tmpl w:val="3A6A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4232FD"/>
    <w:multiLevelType w:val="hybridMultilevel"/>
    <w:tmpl w:val="7FF0C2A6"/>
    <w:lvl w:ilvl="0" w:tplc="1E586302">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BD67F2"/>
    <w:multiLevelType w:val="hybridMultilevel"/>
    <w:tmpl w:val="24F63E92"/>
    <w:lvl w:ilvl="0" w:tplc="040C0003">
      <w:start w:val="1"/>
      <w:numFmt w:val="bullet"/>
      <w:lvlText w:val="o"/>
      <w:lvlJc w:val="left"/>
      <w:pPr>
        <w:ind w:left="2242" w:hanging="360"/>
      </w:pPr>
      <w:rPr>
        <w:rFonts w:ascii="Courier New" w:hAnsi="Courier New" w:cs="Courier New" w:hint="default"/>
      </w:rPr>
    </w:lvl>
    <w:lvl w:ilvl="1" w:tplc="040C0003">
      <w:start w:val="1"/>
      <w:numFmt w:val="bullet"/>
      <w:lvlText w:val="o"/>
      <w:lvlJc w:val="left"/>
      <w:pPr>
        <w:ind w:left="2962" w:hanging="360"/>
      </w:pPr>
      <w:rPr>
        <w:rFonts w:ascii="Courier New" w:hAnsi="Courier New" w:cs="Courier New" w:hint="default"/>
      </w:rPr>
    </w:lvl>
    <w:lvl w:ilvl="2" w:tplc="040C0003">
      <w:start w:val="1"/>
      <w:numFmt w:val="bullet"/>
      <w:lvlText w:val="o"/>
      <w:lvlJc w:val="left"/>
      <w:pPr>
        <w:ind w:left="3682" w:hanging="360"/>
      </w:pPr>
      <w:rPr>
        <w:rFonts w:ascii="Courier New" w:hAnsi="Courier New" w:cs="Courier New" w:hint="default"/>
      </w:rPr>
    </w:lvl>
    <w:lvl w:ilvl="3" w:tplc="040C0001" w:tentative="1">
      <w:start w:val="1"/>
      <w:numFmt w:val="bullet"/>
      <w:lvlText w:val=""/>
      <w:lvlJc w:val="left"/>
      <w:pPr>
        <w:ind w:left="4402" w:hanging="360"/>
      </w:pPr>
      <w:rPr>
        <w:rFonts w:ascii="Symbol" w:hAnsi="Symbol" w:hint="default"/>
      </w:rPr>
    </w:lvl>
    <w:lvl w:ilvl="4" w:tplc="040C0003" w:tentative="1">
      <w:start w:val="1"/>
      <w:numFmt w:val="bullet"/>
      <w:lvlText w:val="o"/>
      <w:lvlJc w:val="left"/>
      <w:pPr>
        <w:ind w:left="5122" w:hanging="360"/>
      </w:pPr>
      <w:rPr>
        <w:rFonts w:ascii="Courier New" w:hAnsi="Courier New" w:cs="Courier New" w:hint="default"/>
      </w:rPr>
    </w:lvl>
    <w:lvl w:ilvl="5" w:tplc="040C0005" w:tentative="1">
      <w:start w:val="1"/>
      <w:numFmt w:val="bullet"/>
      <w:lvlText w:val=""/>
      <w:lvlJc w:val="left"/>
      <w:pPr>
        <w:ind w:left="5842" w:hanging="360"/>
      </w:pPr>
      <w:rPr>
        <w:rFonts w:ascii="Wingdings" w:hAnsi="Wingdings" w:hint="default"/>
      </w:rPr>
    </w:lvl>
    <w:lvl w:ilvl="6" w:tplc="040C0001" w:tentative="1">
      <w:start w:val="1"/>
      <w:numFmt w:val="bullet"/>
      <w:lvlText w:val=""/>
      <w:lvlJc w:val="left"/>
      <w:pPr>
        <w:ind w:left="6562" w:hanging="360"/>
      </w:pPr>
      <w:rPr>
        <w:rFonts w:ascii="Symbol" w:hAnsi="Symbol" w:hint="default"/>
      </w:rPr>
    </w:lvl>
    <w:lvl w:ilvl="7" w:tplc="040C0003" w:tentative="1">
      <w:start w:val="1"/>
      <w:numFmt w:val="bullet"/>
      <w:lvlText w:val="o"/>
      <w:lvlJc w:val="left"/>
      <w:pPr>
        <w:ind w:left="7282" w:hanging="360"/>
      </w:pPr>
      <w:rPr>
        <w:rFonts w:ascii="Courier New" w:hAnsi="Courier New" w:cs="Courier New" w:hint="default"/>
      </w:rPr>
    </w:lvl>
    <w:lvl w:ilvl="8" w:tplc="040C0005" w:tentative="1">
      <w:start w:val="1"/>
      <w:numFmt w:val="bullet"/>
      <w:lvlText w:val=""/>
      <w:lvlJc w:val="left"/>
      <w:pPr>
        <w:ind w:left="8002" w:hanging="360"/>
      </w:pPr>
      <w:rPr>
        <w:rFonts w:ascii="Wingdings" w:hAnsi="Wingdings" w:hint="default"/>
      </w:rPr>
    </w:lvl>
  </w:abstractNum>
  <w:abstractNum w:abstractNumId="26" w15:restartNumberingAfterBreak="0">
    <w:nsid w:val="7E6D003A"/>
    <w:multiLevelType w:val="hybridMultilevel"/>
    <w:tmpl w:val="DD5820BA"/>
    <w:lvl w:ilvl="0" w:tplc="1E586302">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2"/>
  </w:num>
  <w:num w:numId="4">
    <w:abstractNumId w:val="19"/>
  </w:num>
  <w:num w:numId="5">
    <w:abstractNumId w:val="14"/>
  </w:num>
  <w:num w:numId="6">
    <w:abstractNumId w:val="9"/>
  </w:num>
  <w:num w:numId="7">
    <w:abstractNumId w:val="25"/>
  </w:num>
  <w:num w:numId="8">
    <w:abstractNumId w:val="1"/>
  </w:num>
  <w:num w:numId="9">
    <w:abstractNumId w:val="6"/>
  </w:num>
  <w:num w:numId="10">
    <w:abstractNumId w:val="12"/>
  </w:num>
  <w:num w:numId="11">
    <w:abstractNumId w:val="3"/>
  </w:num>
  <w:num w:numId="12">
    <w:abstractNumId w:val="16"/>
  </w:num>
  <w:num w:numId="13">
    <w:abstractNumId w:val="11"/>
  </w:num>
  <w:num w:numId="14">
    <w:abstractNumId w:val="20"/>
  </w:num>
  <w:num w:numId="15">
    <w:abstractNumId w:val="23"/>
  </w:num>
  <w:num w:numId="16">
    <w:abstractNumId w:val="18"/>
  </w:num>
  <w:num w:numId="17">
    <w:abstractNumId w:val="13"/>
  </w:num>
  <w:num w:numId="18">
    <w:abstractNumId w:val="8"/>
  </w:num>
  <w:num w:numId="19">
    <w:abstractNumId w:val="7"/>
  </w:num>
  <w:num w:numId="20">
    <w:abstractNumId w:val="21"/>
  </w:num>
  <w:num w:numId="21">
    <w:abstractNumId w:val="24"/>
  </w:num>
  <w:num w:numId="22">
    <w:abstractNumId w:val="10"/>
  </w:num>
  <w:num w:numId="23">
    <w:abstractNumId w:val="2"/>
  </w:num>
  <w:num w:numId="24">
    <w:abstractNumId w:val="15"/>
  </w:num>
  <w:num w:numId="25">
    <w:abstractNumId w:val="26"/>
  </w:num>
  <w:num w:numId="26">
    <w:abstractNumId w:val="5"/>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E66"/>
    <w:rsid w:val="00021A9E"/>
    <w:rsid w:val="00023E73"/>
    <w:rsid w:val="00033292"/>
    <w:rsid w:val="00061457"/>
    <w:rsid w:val="00121C9C"/>
    <w:rsid w:val="00124FA8"/>
    <w:rsid w:val="00135C55"/>
    <w:rsid w:val="001A4B04"/>
    <w:rsid w:val="001B4116"/>
    <w:rsid w:val="001C7A77"/>
    <w:rsid w:val="001D5691"/>
    <w:rsid w:val="0021691A"/>
    <w:rsid w:val="00223A3D"/>
    <w:rsid w:val="0024294E"/>
    <w:rsid w:val="00243894"/>
    <w:rsid w:val="00261BD9"/>
    <w:rsid w:val="002840D5"/>
    <w:rsid w:val="002D0735"/>
    <w:rsid w:val="00315CD1"/>
    <w:rsid w:val="00376A1C"/>
    <w:rsid w:val="003D60A2"/>
    <w:rsid w:val="003F337D"/>
    <w:rsid w:val="004218D9"/>
    <w:rsid w:val="004C3153"/>
    <w:rsid w:val="005045C8"/>
    <w:rsid w:val="0052170D"/>
    <w:rsid w:val="00537C3C"/>
    <w:rsid w:val="0057407E"/>
    <w:rsid w:val="005A0808"/>
    <w:rsid w:val="005B6D34"/>
    <w:rsid w:val="005D3A6D"/>
    <w:rsid w:val="005E0674"/>
    <w:rsid w:val="00642DA9"/>
    <w:rsid w:val="006D4E98"/>
    <w:rsid w:val="00713906"/>
    <w:rsid w:val="00734AC5"/>
    <w:rsid w:val="00742C8F"/>
    <w:rsid w:val="00756BAC"/>
    <w:rsid w:val="00765CD5"/>
    <w:rsid w:val="00781547"/>
    <w:rsid w:val="007E6F46"/>
    <w:rsid w:val="007F1C0A"/>
    <w:rsid w:val="00806FA7"/>
    <w:rsid w:val="00842AE0"/>
    <w:rsid w:val="0087209F"/>
    <w:rsid w:val="0088589D"/>
    <w:rsid w:val="00890DF1"/>
    <w:rsid w:val="00897842"/>
    <w:rsid w:val="008C2EE6"/>
    <w:rsid w:val="008D3063"/>
    <w:rsid w:val="008E267B"/>
    <w:rsid w:val="00914255"/>
    <w:rsid w:val="00942109"/>
    <w:rsid w:val="009556CF"/>
    <w:rsid w:val="00984954"/>
    <w:rsid w:val="009913BE"/>
    <w:rsid w:val="009B3476"/>
    <w:rsid w:val="009E3F98"/>
    <w:rsid w:val="00A312F3"/>
    <w:rsid w:val="00A41E68"/>
    <w:rsid w:val="00A43B44"/>
    <w:rsid w:val="00A5112E"/>
    <w:rsid w:val="00AB3686"/>
    <w:rsid w:val="00AC3906"/>
    <w:rsid w:val="00AD6527"/>
    <w:rsid w:val="00B00483"/>
    <w:rsid w:val="00B078B0"/>
    <w:rsid w:val="00B372DA"/>
    <w:rsid w:val="00BE26DB"/>
    <w:rsid w:val="00C41E49"/>
    <w:rsid w:val="00C74345"/>
    <w:rsid w:val="00CD677D"/>
    <w:rsid w:val="00D23E66"/>
    <w:rsid w:val="00D24F19"/>
    <w:rsid w:val="00D51226"/>
    <w:rsid w:val="00DD0980"/>
    <w:rsid w:val="00DF603B"/>
    <w:rsid w:val="00E26E51"/>
    <w:rsid w:val="00E54D04"/>
    <w:rsid w:val="00E572AB"/>
    <w:rsid w:val="00E60F29"/>
    <w:rsid w:val="00E6421B"/>
    <w:rsid w:val="00EA14B2"/>
    <w:rsid w:val="00EC1AC4"/>
    <w:rsid w:val="00ED7663"/>
    <w:rsid w:val="00EE451B"/>
    <w:rsid w:val="00EF1E23"/>
    <w:rsid w:val="00F04C3A"/>
    <w:rsid w:val="00F11930"/>
    <w:rsid w:val="00F32250"/>
    <w:rsid w:val="00F3426F"/>
    <w:rsid w:val="00F62D91"/>
    <w:rsid w:val="00F654FC"/>
    <w:rsid w:val="00FA31DE"/>
    <w:rsid w:val="00FA37E5"/>
    <w:rsid w:val="00FD1B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E7569"/>
  <w15:chartTrackingRefBased/>
  <w15:docId w15:val="{080051E8-DDDF-43D3-B998-F813FD10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C3C"/>
  </w:style>
  <w:style w:type="paragraph" w:styleId="Titre1">
    <w:name w:val="heading 1"/>
    <w:basedOn w:val="Normal"/>
    <w:next w:val="Normal"/>
    <w:link w:val="Titre1Car"/>
    <w:uiPriority w:val="9"/>
    <w:qFormat/>
    <w:rsid w:val="00537C3C"/>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537C3C"/>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537C3C"/>
    <w:pPr>
      <w:pBdr>
        <w:top w:val="single" w:sz="6" w:space="2" w:color="9ACD4C" w:themeColor="accent1"/>
      </w:pBdr>
      <w:spacing w:before="300" w:after="0"/>
      <w:outlineLvl w:val="2"/>
    </w:pPr>
    <w:rPr>
      <w:caps/>
      <w:color w:val="4D6D1E" w:themeColor="accent1" w:themeShade="7F"/>
      <w:spacing w:val="15"/>
    </w:rPr>
  </w:style>
  <w:style w:type="paragraph" w:styleId="Titre4">
    <w:name w:val="heading 4"/>
    <w:basedOn w:val="Normal"/>
    <w:next w:val="Normal"/>
    <w:link w:val="Titre4Car"/>
    <w:uiPriority w:val="9"/>
    <w:unhideWhenUsed/>
    <w:qFormat/>
    <w:rsid w:val="00537C3C"/>
    <w:pPr>
      <w:pBdr>
        <w:top w:val="dotted" w:sz="6" w:space="2" w:color="9ACD4C" w:themeColor="accent1"/>
      </w:pBdr>
      <w:spacing w:before="200" w:after="0"/>
      <w:outlineLvl w:val="3"/>
    </w:pPr>
    <w:rPr>
      <w:caps/>
      <w:color w:val="75A42E" w:themeColor="accent1" w:themeShade="BF"/>
      <w:spacing w:val="10"/>
    </w:rPr>
  </w:style>
  <w:style w:type="paragraph" w:styleId="Titre5">
    <w:name w:val="heading 5"/>
    <w:basedOn w:val="Normal"/>
    <w:next w:val="Normal"/>
    <w:link w:val="Titre5Car"/>
    <w:uiPriority w:val="9"/>
    <w:unhideWhenUsed/>
    <w:qFormat/>
    <w:rsid w:val="00537C3C"/>
    <w:pPr>
      <w:pBdr>
        <w:bottom w:val="single" w:sz="6" w:space="1" w:color="9ACD4C" w:themeColor="accent1"/>
      </w:pBdr>
      <w:spacing w:before="200" w:after="0"/>
      <w:outlineLvl w:val="4"/>
    </w:pPr>
    <w:rPr>
      <w:caps/>
      <w:color w:val="75A42E" w:themeColor="accent1" w:themeShade="BF"/>
      <w:spacing w:val="10"/>
    </w:rPr>
  </w:style>
  <w:style w:type="paragraph" w:styleId="Titre6">
    <w:name w:val="heading 6"/>
    <w:basedOn w:val="Normal"/>
    <w:next w:val="Normal"/>
    <w:link w:val="Titre6Car"/>
    <w:uiPriority w:val="9"/>
    <w:unhideWhenUsed/>
    <w:qFormat/>
    <w:rsid w:val="00537C3C"/>
    <w:pPr>
      <w:pBdr>
        <w:bottom w:val="dotted" w:sz="6" w:space="1" w:color="9ACD4C" w:themeColor="accent1"/>
      </w:pBdr>
      <w:spacing w:before="200" w:after="0"/>
      <w:outlineLvl w:val="5"/>
    </w:pPr>
    <w:rPr>
      <w:caps/>
      <w:color w:val="75A42E" w:themeColor="accent1" w:themeShade="BF"/>
      <w:spacing w:val="10"/>
    </w:rPr>
  </w:style>
  <w:style w:type="paragraph" w:styleId="Titre7">
    <w:name w:val="heading 7"/>
    <w:basedOn w:val="Normal"/>
    <w:next w:val="Normal"/>
    <w:link w:val="Titre7Car"/>
    <w:uiPriority w:val="9"/>
    <w:unhideWhenUsed/>
    <w:qFormat/>
    <w:rsid w:val="00537C3C"/>
    <w:pPr>
      <w:spacing w:before="200" w:after="0"/>
      <w:outlineLvl w:val="6"/>
    </w:pPr>
    <w:rPr>
      <w:caps/>
      <w:color w:val="75A42E" w:themeColor="accent1" w:themeShade="BF"/>
      <w:spacing w:val="10"/>
    </w:rPr>
  </w:style>
  <w:style w:type="paragraph" w:styleId="Titre8">
    <w:name w:val="heading 8"/>
    <w:basedOn w:val="Normal"/>
    <w:next w:val="Normal"/>
    <w:link w:val="Titre8Car"/>
    <w:uiPriority w:val="9"/>
    <w:semiHidden/>
    <w:unhideWhenUsed/>
    <w:qFormat/>
    <w:rsid w:val="00537C3C"/>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537C3C"/>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37C3C"/>
    <w:rPr>
      <w:caps/>
      <w:color w:val="FFFFFF" w:themeColor="background1"/>
      <w:spacing w:val="15"/>
      <w:sz w:val="22"/>
      <w:szCs w:val="22"/>
      <w:shd w:val="clear" w:color="auto" w:fill="9ACD4C" w:themeFill="accent1"/>
    </w:rPr>
  </w:style>
  <w:style w:type="paragraph" w:customStyle="1" w:styleId="Default">
    <w:name w:val="Default"/>
    <w:rsid w:val="00223A3D"/>
    <w:pPr>
      <w:autoSpaceDE w:val="0"/>
      <w:autoSpaceDN w:val="0"/>
      <w:adjustRightInd w:val="0"/>
      <w:spacing w:after="0" w:line="240" w:lineRule="auto"/>
    </w:pPr>
    <w:rPr>
      <w:rFonts w:ascii="Arial" w:hAnsi="Arial" w:cs="Arial"/>
      <w:color w:val="000000"/>
      <w:sz w:val="24"/>
      <w:szCs w:val="24"/>
      <w:lang w:eastAsia="fr-FR"/>
    </w:rPr>
  </w:style>
  <w:style w:type="table" w:styleId="Tableausimple2">
    <w:name w:val="Plain Table 2"/>
    <w:basedOn w:val="TableauNormal"/>
    <w:uiPriority w:val="42"/>
    <w:rsid w:val="00223A3D"/>
    <w:pPr>
      <w:spacing w:after="0" w:line="240" w:lineRule="auto"/>
    </w:pPr>
    <w:rPr>
      <w:lang w:eastAsia="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edebulles">
    <w:name w:val="Balloon Text"/>
    <w:basedOn w:val="Normal"/>
    <w:link w:val="TextedebullesCar"/>
    <w:uiPriority w:val="99"/>
    <w:semiHidden/>
    <w:unhideWhenUsed/>
    <w:rsid w:val="00223A3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3A3D"/>
    <w:rPr>
      <w:rFonts w:ascii="Segoe UI" w:hAnsi="Segoe UI" w:cs="Segoe UI"/>
      <w:sz w:val="18"/>
      <w:szCs w:val="18"/>
    </w:rPr>
  </w:style>
  <w:style w:type="character" w:customStyle="1" w:styleId="Titre2Car">
    <w:name w:val="Titre 2 Car"/>
    <w:basedOn w:val="Policepardfaut"/>
    <w:link w:val="Titre2"/>
    <w:uiPriority w:val="9"/>
    <w:rsid w:val="00537C3C"/>
    <w:rPr>
      <w:caps/>
      <w:spacing w:val="15"/>
      <w:shd w:val="clear" w:color="auto" w:fill="EAF5DB" w:themeFill="accent1" w:themeFillTint="33"/>
    </w:rPr>
  </w:style>
  <w:style w:type="table" w:styleId="Grilledutableau">
    <w:name w:val="Table Grid"/>
    <w:basedOn w:val="TableauNormal"/>
    <w:uiPriority w:val="39"/>
    <w:rsid w:val="005D3A6D"/>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D3A6D"/>
    <w:pPr>
      <w:ind w:left="720"/>
      <w:contextualSpacing/>
    </w:pPr>
  </w:style>
  <w:style w:type="character" w:customStyle="1" w:styleId="Titre3Car">
    <w:name w:val="Titre 3 Car"/>
    <w:basedOn w:val="Policepardfaut"/>
    <w:link w:val="Titre3"/>
    <w:uiPriority w:val="9"/>
    <w:rsid w:val="00537C3C"/>
    <w:rPr>
      <w:caps/>
      <w:color w:val="4D6D1E" w:themeColor="accent1" w:themeShade="7F"/>
      <w:spacing w:val="15"/>
    </w:rPr>
  </w:style>
  <w:style w:type="paragraph" w:styleId="NormalWeb">
    <w:name w:val="Normal (Web)"/>
    <w:basedOn w:val="Normal"/>
    <w:unhideWhenUsed/>
    <w:rsid w:val="005D3A6D"/>
    <w:pPr>
      <w:spacing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D3A6D"/>
    <w:rPr>
      <w:strike w:val="0"/>
      <w:dstrike w:val="0"/>
      <w:color w:val="DF0018"/>
      <w:u w:val="none"/>
      <w:effect w:val="none"/>
    </w:rPr>
  </w:style>
  <w:style w:type="character" w:styleId="lev">
    <w:name w:val="Strong"/>
    <w:uiPriority w:val="22"/>
    <w:qFormat/>
    <w:rsid w:val="00537C3C"/>
    <w:rPr>
      <w:b/>
      <w:bCs/>
    </w:rPr>
  </w:style>
  <w:style w:type="character" w:customStyle="1" w:styleId="Titre4Car">
    <w:name w:val="Titre 4 Car"/>
    <w:basedOn w:val="Policepardfaut"/>
    <w:link w:val="Titre4"/>
    <w:uiPriority w:val="9"/>
    <w:rsid w:val="00537C3C"/>
    <w:rPr>
      <w:caps/>
      <w:color w:val="75A42E" w:themeColor="accent1" w:themeShade="BF"/>
      <w:spacing w:val="10"/>
    </w:rPr>
  </w:style>
  <w:style w:type="character" w:customStyle="1" w:styleId="Titre5Car">
    <w:name w:val="Titre 5 Car"/>
    <w:basedOn w:val="Policepardfaut"/>
    <w:link w:val="Titre5"/>
    <w:uiPriority w:val="9"/>
    <w:rsid w:val="00537C3C"/>
    <w:rPr>
      <w:caps/>
      <w:color w:val="75A42E" w:themeColor="accent1" w:themeShade="BF"/>
      <w:spacing w:val="10"/>
    </w:rPr>
  </w:style>
  <w:style w:type="character" w:customStyle="1" w:styleId="Titre6Car">
    <w:name w:val="Titre 6 Car"/>
    <w:basedOn w:val="Policepardfaut"/>
    <w:link w:val="Titre6"/>
    <w:uiPriority w:val="9"/>
    <w:rsid w:val="00537C3C"/>
    <w:rPr>
      <w:caps/>
      <w:color w:val="75A42E" w:themeColor="accent1" w:themeShade="BF"/>
      <w:spacing w:val="10"/>
    </w:rPr>
  </w:style>
  <w:style w:type="character" w:customStyle="1" w:styleId="Titre7Car">
    <w:name w:val="Titre 7 Car"/>
    <w:basedOn w:val="Policepardfaut"/>
    <w:link w:val="Titre7"/>
    <w:uiPriority w:val="9"/>
    <w:rsid w:val="00537C3C"/>
    <w:rPr>
      <w:caps/>
      <w:color w:val="75A42E" w:themeColor="accent1" w:themeShade="BF"/>
      <w:spacing w:val="10"/>
    </w:rPr>
  </w:style>
  <w:style w:type="character" w:customStyle="1" w:styleId="Titre8Car">
    <w:name w:val="Titre 8 Car"/>
    <w:basedOn w:val="Policepardfaut"/>
    <w:link w:val="Titre8"/>
    <w:uiPriority w:val="9"/>
    <w:semiHidden/>
    <w:rsid w:val="00537C3C"/>
    <w:rPr>
      <w:caps/>
      <w:spacing w:val="10"/>
      <w:sz w:val="18"/>
      <w:szCs w:val="18"/>
    </w:rPr>
  </w:style>
  <w:style w:type="character" w:customStyle="1" w:styleId="Titre9Car">
    <w:name w:val="Titre 9 Car"/>
    <w:basedOn w:val="Policepardfaut"/>
    <w:link w:val="Titre9"/>
    <w:uiPriority w:val="9"/>
    <w:semiHidden/>
    <w:rsid w:val="00537C3C"/>
    <w:rPr>
      <w:i/>
      <w:iCs/>
      <w:caps/>
      <w:spacing w:val="10"/>
      <w:sz w:val="18"/>
      <w:szCs w:val="18"/>
    </w:rPr>
  </w:style>
  <w:style w:type="paragraph" w:styleId="Lgende">
    <w:name w:val="caption"/>
    <w:basedOn w:val="Normal"/>
    <w:next w:val="Normal"/>
    <w:uiPriority w:val="35"/>
    <w:unhideWhenUsed/>
    <w:qFormat/>
    <w:rsid w:val="00537C3C"/>
    <w:rPr>
      <w:b/>
      <w:bCs/>
      <w:color w:val="75A42E" w:themeColor="accent1" w:themeShade="BF"/>
      <w:sz w:val="16"/>
      <w:szCs w:val="16"/>
    </w:rPr>
  </w:style>
  <w:style w:type="paragraph" w:styleId="Titre">
    <w:name w:val="Title"/>
    <w:basedOn w:val="Normal"/>
    <w:next w:val="Normal"/>
    <w:link w:val="TitreCar"/>
    <w:uiPriority w:val="10"/>
    <w:qFormat/>
    <w:rsid w:val="00537C3C"/>
    <w:pPr>
      <w:spacing w:before="0" w:after="0"/>
    </w:pPr>
    <w:rPr>
      <w:rFonts w:asciiTheme="majorHAnsi" w:eastAsiaTheme="majorEastAsia" w:hAnsiTheme="majorHAnsi" w:cstheme="majorBidi"/>
      <w:caps/>
      <w:color w:val="9ACD4C" w:themeColor="accent1"/>
      <w:spacing w:val="10"/>
      <w:sz w:val="52"/>
      <w:szCs w:val="52"/>
    </w:rPr>
  </w:style>
  <w:style w:type="character" w:customStyle="1" w:styleId="TitreCar">
    <w:name w:val="Titre Car"/>
    <w:basedOn w:val="Policepardfaut"/>
    <w:link w:val="Titre"/>
    <w:uiPriority w:val="10"/>
    <w:rsid w:val="00537C3C"/>
    <w:rPr>
      <w:rFonts w:asciiTheme="majorHAnsi" w:eastAsiaTheme="majorEastAsia" w:hAnsiTheme="majorHAnsi" w:cstheme="majorBidi"/>
      <w:caps/>
      <w:color w:val="9ACD4C" w:themeColor="accent1"/>
      <w:spacing w:val="10"/>
      <w:sz w:val="52"/>
      <w:szCs w:val="52"/>
    </w:rPr>
  </w:style>
  <w:style w:type="paragraph" w:styleId="Sous-titre">
    <w:name w:val="Subtitle"/>
    <w:basedOn w:val="Normal"/>
    <w:next w:val="Normal"/>
    <w:link w:val="Sous-titreCar"/>
    <w:uiPriority w:val="11"/>
    <w:qFormat/>
    <w:rsid w:val="00537C3C"/>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537C3C"/>
    <w:rPr>
      <w:caps/>
      <w:color w:val="595959" w:themeColor="text1" w:themeTint="A6"/>
      <w:spacing w:val="10"/>
      <w:sz w:val="21"/>
      <w:szCs w:val="21"/>
    </w:rPr>
  </w:style>
  <w:style w:type="character" w:styleId="Accentuation">
    <w:name w:val="Emphasis"/>
    <w:uiPriority w:val="20"/>
    <w:qFormat/>
    <w:rsid w:val="00537C3C"/>
    <w:rPr>
      <w:caps/>
      <w:color w:val="4D6D1E" w:themeColor="accent1" w:themeShade="7F"/>
      <w:spacing w:val="5"/>
    </w:rPr>
  </w:style>
  <w:style w:type="paragraph" w:styleId="Sansinterligne">
    <w:name w:val="No Spacing"/>
    <w:link w:val="SansinterligneCar"/>
    <w:uiPriority w:val="1"/>
    <w:qFormat/>
    <w:rsid w:val="00537C3C"/>
    <w:pPr>
      <w:spacing w:after="0" w:line="240" w:lineRule="auto"/>
    </w:pPr>
  </w:style>
  <w:style w:type="paragraph" w:styleId="Citation">
    <w:name w:val="Quote"/>
    <w:basedOn w:val="Normal"/>
    <w:next w:val="Normal"/>
    <w:link w:val="CitationCar"/>
    <w:uiPriority w:val="29"/>
    <w:qFormat/>
    <w:rsid w:val="00537C3C"/>
    <w:rPr>
      <w:i/>
      <w:iCs/>
      <w:sz w:val="24"/>
      <w:szCs w:val="24"/>
    </w:rPr>
  </w:style>
  <w:style w:type="character" w:customStyle="1" w:styleId="CitationCar">
    <w:name w:val="Citation Car"/>
    <w:basedOn w:val="Policepardfaut"/>
    <w:link w:val="Citation"/>
    <w:uiPriority w:val="29"/>
    <w:rsid w:val="00537C3C"/>
    <w:rPr>
      <w:i/>
      <w:iCs/>
      <w:sz w:val="24"/>
      <w:szCs w:val="24"/>
    </w:rPr>
  </w:style>
  <w:style w:type="paragraph" w:styleId="Citationintense">
    <w:name w:val="Intense Quote"/>
    <w:basedOn w:val="Normal"/>
    <w:next w:val="Normal"/>
    <w:link w:val="CitationintenseCar"/>
    <w:uiPriority w:val="30"/>
    <w:qFormat/>
    <w:rsid w:val="00537C3C"/>
    <w:pPr>
      <w:spacing w:before="240" w:after="240" w:line="240" w:lineRule="auto"/>
      <w:ind w:left="1080" w:right="1080"/>
      <w:jc w:val="center"/>
    </w:pPr>
    <w:rPr>
      <w:color w:val="9ACD4C" w:themeColor="accent1"/>
      <w:sz w:val="24"/>
      <w:szCs w:val="24"/>
    </w:rPr>
  </w:style>
  <w:style w:type="character" w:customStyle="1" w:styleId="CitationintenseCar">
    <w:name w:val="Citation intense Car"/>
    <w:basedOn w:val="Policepardfaut"/>
    <w:link w:val="Citationintense"/>
    <w:uiPriority w:val="30"/>
    <w:rsid w:val="00537C3C"/>
    <w:rPr>
      <w:color w:val="9ACD4C" w:themeColor="accent1"/>
      <w:sz w:val="24"/>
      <w:szCs w:val="24"/>
    </w:rPr>
  </w:style>
  <w:style w:type="character" w:styleId="Accentuationlgre">
    <w:name w:val="Subtle Emphasis"/>
    <w:uiPriority w:val="19"/>
    <w:qFormat/>
    <w:rsid w:val="00537C3C"/>
    <w:rPr>
      <w:i/>
      <w:iCs/>
      <w:color w:val="4D6D1E" w:themeColor="accent1" w:themeShade="7F"/>
    </w:rPr>
  </w:style>
  <w:style w:type="character" w:styleId="Accentuationintense">
    <w:name w:val="Intense Emphasis"/>
    <w:uiPriority w:val="21"/>
    <w:qFormat/>
    <w:rsid w:val="00537C3C"/>
    <w:rPr>
      <w:b/>
      <w:bCs/>
      <w:caps/>
      <w:color w:val="4D6D1E" w:themeColor="accent1" w:themeShade="7F"/>
      <w:spacing w:val="10"/>
    </w:rPr>
  </w:style>
  <w:style w:type="character" w:styleId="Rfrencelgre">
    <w:name w:val="Subtle Reference"/>
    <w:uiPriority w:val="31"/>
    <w:qFormat/>
    <w:rsid w:val="00537C3C"/>
    <w:rPr>
      <w:b/>
      <w:bCs/>
      <w:color w:val="9ACD4C" w:themeColor="accent1"/>
    </w:rPr>
  </w:style>
  <w:style w:type="character" w:styleId="Rfrenceintense">
    <w:name w:val="Intense Reference"/>
    <w:uiPriority w:val="32"/>
    <w:qFormat/>
    <w:rsid w:val="00537C3C"/>
    <w:rPr>
      <w:b/>
      <w:bCs/>
      <w:i/>
      <w:iCs/>
      <w:caps/>
      <w:color w:val="9ACD4C" w:themeColor="accent1"/>
    </w:rPr>
  </w:style>
  <w:style w:type="character" w:styleId="Titredulivre">
    <w:name w:val="Book Title"/>
    <w:uiPriority w:val="33"/>
    <w:qFormat/>
    <w:rsid w:val="00537C3C"/>
    <w:rPr>
      <w:b/>
      <w:bCs/>
      <w:i/>
      <w:iCs/>
      <w:spacing w:val="0"/>
    </w:rPr>
  </w:style>
  <w:style w:type="paragraph" w:styleId="En-ttedetabledesmatires">
    <w:name w:val="TOC Heading"/>
    <w:basedOn w:val="Titre1"/>
    <w:next w:val="Normal"/>
    <w:uiPriority w:val="39"/>
    <w:unhideWhenUsed/>
    <w:qFormat/>
    <w:rsid w:val="00537C3C"/>
    <w:pPr>
      <w:outlineLvl w:val="9"/>
    </w:pPr>
  </w:style>
  <w:style w:type="character" w:customStyle="1" w:styleId="fontsizexlarge">
    <w:name w:val="fontsizexlarge"/>
    <w:basedOn w:val="Policepardfaut"/>
    <w:rsid w:val="006D4E98"/>
  </w:style>
  <w:style w:type="character" w:styleId="Mentionnonrsolue">
    <w:name w:val="Unresolved Mention"/>
    <w:basedOn w:val="Policepardfaut"/>
    <w:uiPriority w:val="99"/>
    <w:semiHidden/>
    <w:unhideWhenUsed/>
    <w:rsid w:val="001B4116"/>
    <w:rPr>
      <w:color w:val="605E5C"/>
      <w:shd w:val="clear" w:color="auto" w:fill="E1DFDD"/>
    </w:rPr>
  </w:style>
  <w:style w:type="paragraph" w:customStyle="1" w:styleId="tabentete">
    <w:name w:val="tabentete"/>
    <w:basedOn w:val="Normal"/>
    <w:rsid w:val="00376A1C"/>
    <w:pPr>
      <w:spacing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ableau">
    <w:name w:val="tableau"/>
    <w:basedOn w:val="Normal"/>
    <w:rsid w:val="00376A1C"/>
    <w:pPr>
      <w:spacing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
    <w:name w:val="paragraph"/>
    <w:basedOn w:val="Normal"/>
    <w:rsid w:val="00E26E51"/>
    <w:pPr>
      <w:spacing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E26E51"/>
  </w:style>
  <w:style w:type="character" w:customStyle="1" w:styleId="spellingerror">
    <w:name w:val="spellingerror"/>
    <w:basedOn w:val="Policepardfaut"/>
    <w:rsid w:val="00E26E51"/>
  </w:style>
  <w:style w:type="character" w:customStyle="1" w:styleId="eop">
    <w:name w:val="eop"/>
    <w:basedOn w:val="Policepardfaut"/>
    <w:rsid w:val="00E26E51"/>
  </w:style>
  <w:style w:type="character" w:customStyle="1" w:styleId="contextualspellingandgrammarerror">
    <w:name w:val="contextualspellingandgrammarerror"/>
    <w:basedOn w:val="Policepardfaut"/>
    <w:rsid w:val="00E26E51"/>
  </w:style>
  <w:style w:type="paragraph" w:customStyle="1" w:styleId="DecimalAligned">
    <w:name w:val="Decimal Aligned"/>
    <w:basedOn w:val="Normal"/>
    <w:uiPriority w:val="40"/>
    <w:rsid w:val="00A5112E"/>
    <w:pPr>
      <w:tabs>
        <w:tab w:val="decimal" w:pos="360"/>
      </w:tabs>
      <w:spacing w:before="0"/>
    </w:pPr>
    <w:rPr>
      <w:rFonts w:cs="Times New Roman"/>
      <w:sz w:val="22"/>
      <w:szCs w:val="22"/>
      <w:lang w:eastAsia="fr-FR"/>
    </w:rPr>
  </w:style>
  <w:style w:type="paragraph" w:styleId="Notedebasdepage">
    <w:name w:val="footnote text"/>
    <w:basedOn w:val="Normal"/>
    <w:link w:val="NotedebasdepageCar"/>
    <w:uiPriority w:val="99"/>
    <w:unhideWhenUsed/>
    <w:rsid w:val="00A5112E"/>
    <w:pPr>
      <w:spacing w:before="0" w:after="0" w:line="240" w:lineRule="auto"/>
    </w:pPr>
    <w:rPr>
      <w:rFonts w:cs="Times New Roman"/>
      <w:lang w:eastAsia="fr-FR"/>
    </w:rPr>
  </w:style>
  <w:style w:type="character" w:customStyle="1" w:styleId="NotedebasdepageCar">
    <w:name w:val="Note de bas de page Car"/>
    <w:basedOn w:val="Policepardfaut"/>
    <w:link w:val="Notedebasdepage"/>
    <w:uiPriority w:val="99"/>
    <w:rsid w:val="00A5112E"/>
    <w:rPr>
      <w:rFonts w:cs="Times New Roman"/>
      <w:lang w:eastAsia="fr-FR"/>
    </w:rPr>
  </w:style>
  <w:style w:type="table" w:styleId="Tramemoyenne2-Accent5">
    <w:name w:val="Medium Shading 2 Accent 5"/>
    <w:basedOn w:val="TableauNormal"/>
    <w:uiPriority w:val="64"/>
    <w:rsid w:val="00A5112E"/>
    <w:pPr>
      <w:spacing w:before="0" w:after="0" w:line="240" w:lineRule="auto"/>
    </w:pPr>
    <w:rPr>
      <w:sz w:val="22"/>
      <w:szCs w:val="22"/>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0C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A0CC" w:themeFill="accent5"/>
      </w:tcPr>
    </w:tblStylePr>
    <w:tblStylePr w:type="lastCol">
      <w:rPr>
        <w:b/>
        <w:bCs/>
        <w:color w:val="FFFFFF" w:themeColor="background1"/>
      </w:rPr>
      <w:tblPr/>
      <w:tcPr>
        <w:tcBorders>
          <w:left w:val="nil"/>
          <w:right w:val="nil"/>
          <w:insideH w:val="nil"/>
          <w:insideV w:val="nil"/>
        </w:tcBorders>
        <w:shd w:val="clear" w:color="auto" w:fill="63A0C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rier4">
    <w:name w:val="Calendrier 4"/>
    <w:basedOn w:val="TableauNormal"/>
    <w:uiPriority w:val="99"/>
    <w:qFormat/>
    <w:rsid w:val="00A5112E"/>
    <w:pPr>
      <w:snapToGrid w:val="0"/>
      <w:spacing w:before="0" w:after="0" w:line="240" w:lineRule="auto"/>
    </w:pPr>
    <w:rPr>
      <w:b/>
      <w:bCs/>
      <w:color w:val="FFFFFF" w:themeColor="background1"/>
      <w:sz w:val="16"/>
      <w:szCs w:val="16"/>
      <w:lang w:eastAsia="fr-FR"/>
    </w:rPr>
    <w:tblPr>
      <w:tblStyleRowBandSize w:val="1"/>
      <w:tblBorders>
        <w:top w:val="single" w:sz="4" w:space="0" w:color="FAA93A" w:themeColor="accent2"/>
        <w:left w:val="single" w:sz="4" w:space="0" w:color="FAA93A" w:themeColor="accent2"/>
        <w:bottom w:val="single" w:sz="4" w:space="0" w:color="FAA93A" w:themeColor="accent2"/>
        <w:right w:val="single" w:sz="4" w:space="0" w:color="FAA93A" w:themeColor="accent2"/>
      </w:tblBorders>
    </w:tblPr>
    <w:tcPr>
      <w:shd w:val="clear" w:color="auto" w:fill="4E6E1E"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fiche-sur-titre">
    <w:name w:val="fiche-sur-titre"/>
    <w:basedOn w:val="Normal"/>
    <w:rsid w:val="00BE26DB"/>
    <w:pPr>
      <w:suppressAutoHyphens/>
      <w:autoSpaceDN w:val="0"/>
      <w:spacing w:after="100" w:line="240" w:lineRule="auto"/>
      <w:textAlignment w:val="baseline"/>
    </w:pPr>
    <w:rPr>
      <w:rFonts w:ascii="Times New Roman" w:eastAsia="Times New Roman" w:hAnsi="Times New Roman" w:cs="Times New Roman"/>
      <w:sz w:val="24"/>
      <w:szCs w:val="24"/>
      <w:lang w:eastAsia="fr-FR"/>
    </w:rPr>
  </w:style>
  <w:style w:type="paragraph" w:customStyle="1" w:styleId="source">
    <w:name w:val="source"/>
    <w:basedOn w:val="Normal"/>
    <w:rsid w:val="00BE26DB"/>
    <w:pPr>
      <w:suppressAutoHyphens/>
      <w:autoSpaceDN w:val="0"/>
      <w:spacing w:after="100" w:line="240" w:lineRule="auto"/>
      <w:textAlignment w:val="baseline"/>
    </w:pPr>
    <w:rPr>
      <w:rFonts w:ascii="Times New Roman" w:eastAsia="Times New Roman" w:hAnsi="Times New Roman" w:cs="Times New Roman"/>
      <w:sz w:val="24"/>
      <w:szCs w:val="24"/>
      <w:lang w:eastAsia="fr-FR"/>
    </w:rPr>
  </w:style>
  <w:style w:type="paragraph" w:styleId="Listepuces">
    <w:name w:val="List Bullet"/>
    <w:basedOn w:val="Normal"/>
    <w:rsid w:val="00F654FC"/>
    <w:pPr>
      <w:numPr>
        <w:numId w:val="22"/>
      </w:numPr>
      <w:tabs>
        <w:tab w:val="left" w:pos="-2160"/>
      </w:tabs>
      <w:suppressAutoHyphens/>
      <w:autoSpaceDN w:val="0"/>
      <w:spacing w:before="0" w:after="120"/>
      <w:textAlignment w:val="baseline"/>
    </w:pPr>
    <w:rPr>
      <w:rFonts w:ascii="Verdana" w:eastAsia="Verdana" w:hAnsi="Verdana" w:cs="Times New Roman"/>
      <w:color w:val="323232"/>
      <w:kern w:val="3"/>
      <w:sz w:val="22"/>
      <w:szCs w:val="22"/>
      <w:lang w:eastAsia="ja-JP"/>
    </w:rPr>
  </w:style>
  <w:style w:type="numbering" w:customStyle="1" w:styleId="LFO14">
    <w:name w:val="LFO14"/>
    <w:basedOn w:val="Aucuneliste"/>
    <w:rsid w:val="00F654FC"/>
    <w:pPr>
      <w:numPr>
        <w:numId w:val="22"/>
      </w:numPr>
    </w:pPr>
  </w:style>
  <w:style w:type="character" w:customStyle="1" w:styleId="SansinterligneCar">
    <w:name w:val="Sans interligne Car"/>
    <w:basedOn w:val="Policepardfaut"/>
    <w:link w:val="Sansinterligne"/>
    <w:uiPriority w:val="1"/>
    <w:rsid w:val="005E0674"/>
  </w:style>
  <w:style w:type="paragraph" w:styleId="TM2">
    <w:name w:val="toc 2"/>
    <w:basedOn w:val="Normal"/>
    <w:next w:val="Normal"/>
    <w:autoRedefine/>
    <w:uiPriority w:val="39"/>
    <w:unhideWhenUsed/>
    <w:rsid w:val="005E0674"/>
    <w:pPr>
      <w:spacing w:before="0" w:after="100" w:line="259" w:lineRule="auto"/>
      <w:ind w:left="220"/>
    </w:pPr>
    <w:rPr>
      <w:rFonts w:cs="Times New Roman"/>
      <w:sz w:val="22"/>
      <w:szCs w:val="22"/>
      <w:lang w:eastAsia="fr-FR"/>
    </w:rPr>
  </w:style>
  <w:style w:type="paragraph" w:styleId="TM1">
    <w:name w:val="toc 1"/>
    <w:basedOn w:val="Normal"/>
    <w:next w:val="Normal"/>
    <w:autoRedefine/>
    <w:uiPriority w:val="39"/>
    <w:unhideWhenUsed/>
    <w:rsid w:val="005E0674"/>
    <w:pPr>
      <w:spacing w:before="0" w:after="100" w:line="259" w:lineRule="auto"/>
    </w:pPr>
    <w:rPr>
      <w:rFonts w:cs="Times New Roman"/>
      <w:sz w:val="22"/>
      <w:szCs w:val="22"/>
      <w:lang w:eastAsia="fr-FR"/>
    </w:rPr>
  </w:style>
  <w:style w:type="paragraph" w:styleId="TM3">
    <w:name w:val="toc 3"/>
    <w:basedOn w:val="Normal"/>
    <w:next w:val="Normal"/>
    <w:autoRedefine/>
    <w:uiPriority w:val="39"/>
    <w:unhideWhenUsed/>
    <w:rsid w:val="005E0674"/>
    <w:pPr>
      <w:spacing w:before="0" w:after="100" w:line="259" w:lineRule="auto"/>
      <w:ind w:left="440"/>
    </w:pPr>
    <w:rPr>
      <w:rFonts w:cs="Times New Roman"/>
      <w:sz w:val="22"/>
      <w:szCs w:val="22"/>
      <w:lang w:eastAsia="fr-FR"/>
    </w:rPr>
  </w:style>
  <w:style w:type="paragraph" w:styleId="En-tte">
    <w:name w:val="header"/>
    <w:basedOn w:val="Normal"/>
    <w:link w:val="En-tteCar"/>
    <w:uiPriority w:val="99"/>
    <w:unhideWhenUsed/>
    <w:rsid w:val="005E0674"/>
    <w:pPr>
      <w:tabs>
        <w:tab w:val="center" w:pos="4536"/>
        <w:tab w:val="right" w:pos="9072"/>
      </w:tabs>
      <w:spacing w:before="0" w:after="0" w:line="240" w:lineRule="auto"/>
    </w:pPr>
  </w:style>
  <w:style w:type="character" w:customStyle="1" w:styleId="En-tteCar">
    <w:name w:val="En-tête Car"/>
    <w:basedOn w:val="Policepardfaut"/>
    <w:link w:val="En-tte"/>
    <w:uiPriority w:val="99"/>
    <w:rsid w:val="005E0674"/>
  </w:style>
  <w:style w:type="paragraph" w:styleId="Pieddepage">
    <w:name w:val="footer"/>
    <w:basedOn w:val="Normal"/>
    <w:link w:val="PieddepageCar"/>
    <w:uiPriority w:val="99"/>
    <w:unhideWhenUsed/>
    <w:rsid w:val="005E0674"/>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5E0674"/>
  </w:style>
  <w:style w:type="character" w:styleId="Appelnotedebasdep">
    <w:name w:val="footnote reference"/>
    <w:basedOn w:val="Policepardfaut"/>
    <w:uiPriority w:val="99"/>
    <w:semiHidden/>
    <w:unhideWhenUsed/>
    <w:rsid w:val="00135C55"/>
    <w:rPr>
      <w:vertAlign w:val="superscript"/>
    </w:rPr>
  </w:style>
  <w:style w:type="paragraph" w:styleId="Index1">
    <w:name w:val="index 1"/>
    <w:basedOn w:val="Normal"/>
    <w:next w:val="Normal"/>
    <w:autoRedefine/>
    <w:uiPriority w:val="99"/>
    <w:unhideWhenUsed/>
    <w:rsid w:val="00914255"/>
    <w:pPr>
      <w:spacing w:before="0" w:after="0"/>
      <w:ind w:left="200" w:hanging="200"/>
    </w:pPr>
    <w:rPr>
      <w:sz w:val="18"/>
      <w:szCs w:val="18"/>
    </w:rPr>
  </w:style>
  <w:style w:type="paragraph" w:styleId="Index2">
    <w:name w:val="index 2"/>
    <w:basedOn w:val="Normal"/>
    <w:next w:val="Normal"/>
    <w:autoRedefine/>
    <w:uiPriority w:val="99"/>
    <w:unhideWhenUsed/>
    <w:rsid w:val="00914255"/>
    <w:pPr>
      <w:spacing w:before="0" w:after="0"/>
      <w:ind w:left="400" w:hanging="200"/>
    </w:pPr>
    <w:rPr>
      <w:sz w:val="18"/>
      <w:szCs w:val="18"/>
    </w:rPr>
  </w:style>
  <w:style w:type="paragraph" w:styleId="Index3">
    <w:name w:val="index 3"/>
    <w:basedOn w:val="Normal"/>
    <w:next w:val="Normal"/>
    <w:autoRedefine/>
    <w:uiPriority w:val="99"/>
    <w:unhideWhenUsed/>
    <w:rsid w:val="00914255"/>
    <w:pPr>
      <w:spacing w:before="0" w:after="0"/>
      <w:ind w:left="600" w:hanging="200"/>
    </w:pPr>
    <w:rPr>
      <w:sz w:val="18"/>
      <w:szCs w:val="18"/>
    </w:rPr>
  </w:style>
  <w:style w:type="paragraph" w:styleId="Index4">
    <w:name w:val="index 4"/>
    <w:basedOn w:val="Normal"/>
    <w:next w:val="Normal"/>
    <w:autoRedefine/>
    <w:uiPriority w:val="99"/>
    <w:unhideWhenUsed/>
    <w:rsid w:val="00914255"/>
    <w:pPr>
      <w:spacing w:before="0" w:after="0"/>
      <w:ind w:left="800" w:hanging="200"/>
    </w:pPr>
    <w:rPr>
      <w:sz w:val="18"/>
      <w:szCs w:val="18"/>
    </w:rPr>
  </w:style>
  <w:style w:type="paragraph" w:styleId="Index5">
    <w:name w:val="index 5"/>
    <w:basedOn w:val="Normal"/>
    <w:next w:val="Normal"/>
    <w:autoRedefine/>
    <w:uiPriority w:val="99"/>
    <w:unhideWhenUsed/>
    <w:rsid w:val="00914255"/>
    <w:pPr>
      <w:spacing w:before="0" w:after="0"/>
      <w:ind w:left="1000" w:hanging="200"/>
    </w:pPr>
    <w:rPr>
      <w:sz w:val="18"/>
      <w:szCs w:val="18"/>
    </w:rPr>
  </w:style>
  <w:style w:type="paragraph" w:styleId="Index6">
    <w:name w:val="index 6"/>
    <w:basedOn w:val="Normal"/>
    <w:next w:val="Normal"/>
    <w:autoRedefine/>
    <w:uiPriority w:val="99"/>
    <w:unhideWhenUsed/>
    <w:rsid w:val="00914255"/>
    <w:pPr>
      <w:spacing w:before="0" w:after="0"/>
      <w:ind w:left="1200" w:hanging="200"/>
    </w:pPr>
    <w:rPr>
      <w:sz w:val="18"/>
      <w:szCs w:val="18"/>
    </w:rPr>
  </w:style>
  <w:style w:type="paragraph" w:styleId="Index7">
    <w:name w:val="index 7"/>
    <w:basedOn w:val="Normal"/>
    <w:next w:val="Normal"/>
    <w:autoRedefine/>
    <w:uiPriority w:val="99"/>
    <w:unhideWhenUsed/>
    <w:rsid w:val="00914255"/>
    <w:pPr>
      <w:spacing w:before="0" w:after="0"/>
      <w:ind w:left="1400" w:hanging="200"/>
    </w:pPr>
    <w:rPr>
      <w:sz w:val="18"/>
      <w:szCs w:val="18"/>
    </w:rPr>
  </w:style>
  <w:style w:type="paragraph" w:styleId="Index8">
    <w:name w:val="index 8"/>
    <w:basedOn w:val="Normal"/>
    <w:next w:val="Normal"/>
    <w:autoRedefine/>
    <w:uiPriority w:val="99"/>
    <w:unhideWhenUsed/>
    <w:rsid w:val="00914255"/>
    <w:pPr>
      <w:spacing w:before="0" w:after="0"/>
      <w:ind w:left="1600" w:hanging="200"/>
    </w:pPr>
    <w:rPr>
      <w:sz w:val="18"/>
      <w:szCs w:val="18"/>
    </w:rPr>
  </w:style>
  <w:style w:type="paragraph" w:styleId="Index9">
    <w:name w:val="index 9"/>
    <w:basedOn w:val="Normal"/>
    <w:next w:val="Normal"/>
    <w:autoRedefine/>
    <w:uiPriority w:val="99"/>
    <w:unhideWhenUsed/>
    <w:rsid w:val="00914255"/>
    <w:pPr>
      <w:spacing w:before="0" w:after="0"/>
      <w:ind w:left="1800" w:hanging="200"/>
    </w:pPr>
    <w:rPr>
      <w:sz w:val="18"/>
      <w:szCs w:val="18"/>
    </w:rPr>
  </w:style>
  <w:style w:type="paragraph" w:styleId="Titreindex">
    <w:name w:val="index heading"/>
    <w:basedOn w:val="Normal"/>
    <w:next w:val="Index1"/>
    <w:uiPriority w:val="99"/>
    <w:unhideWhenUsed/>
    <w:rsid w:val="00914255"/>
    <w:pPr>
      <w:spacing w:before="240" w:after="120"/>
      <w:jc w:val="center"/>
    </w:pPr>
    <w:rPr>
      <w:b/>
      <w:bCs/>
      <w:sz w:val="26"/>
      <w:szCs w:val="26"/>
    </w:rPr>
  </w:style>
  <w:style w:type="table" w:styleId="TableauGrille6Couleur">
    <w:name w:val="Grid Table 6 Colorful"/>
    <w:basedOn w:val="TableauNormal"/>
    <w:uiPriority w:val="51"/>
    <w:rsid w:val="00C7434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966808">
      <w:bodyDiv w:val="1"/>
      <w:marLeft w:val="0"/>
      <w:marRight w:val="0"/>
      <w:marTop w:val="0"/>
      <w:marBottom w:val="0"/>
      <w:divBdr>
        <w:top w:val="none" w:sz="0" w:space="0" w:color="auto"/>
        <w:left w:val="none" w:sz="0" w:space="0" w:color="auto"/>
        <w:bottom w:val="none" w:sz="0" w:space="0" w:color="auto"/>
        <w:right w:val="none" w:sz="0" w:space="0" w:color="auto"/>
      </w:divBdr>
      <w:divsChild>
        <w:div w:id="223369150">
          <w:marLeft w:val="0"/>
          <w:marRight w:val="0"/>
          <w:marTop w:val="0"/>
          <w:marBottom w:val="0"/>
          <w:divBdr>
            <w:top w:val="none" w:sz="0" w:space="0" w:color="auto"/>
            <w:left w:val="none" w:sz="0" w:space="0" w:color="auto"/>
            <w:bottom w:val="none" w:sz="0" w:space="0" w:color="auto"/>
            <w:right w:val="none" w:sz="0" w:space="0" w:color="auto"/>
          </w:divBdr>
        </w:div>
        <w:div w:id="1085028007">
          <w:marLeft w:val="0"/>
          <w:marRight w:val="0"/>
          <w:marTop w:val="0"/>
          <w:marBottom w:val="0"/>
          <w:divBdr>
            <w:top w:val="none" w:sz="0" w:space="0" w:color="auto"/>
            <w:left w:val="none" w:sz="0" w:space="0" w:color="auto"/>
            <w:bottom w:val="none" w:sz="0" w:space="0" w:color="auto"/>
            <w:right w:val="none" w:sz="0" w:space="0" w:color="auto"/>
          </w:divBdr>
        </w:div>
        <w:div w:id="1180391085">
          <w:marLeft w:val="0"/>
          <w:marRight w:val="0"/>
          <w:marTop w:val="0"/>
          <w:marBottom w:val="0"/>
          <w:divBdr>
            <w:top w:val="none" w:sz="0" w:space="0" w:color="auto"/>
            <w:left w:val="none" w:sz="0" w:space="0" w:color="auto"/>
            <w:bottom w:val="none" w:sz="0" w:space="0" w:color="auto"/>
            <w:right w:val="none" w:sz="0" w:space="0" w:color="auto"/>
          </w:divBdr>
        </w:div>
        <w:div w:id="1204711298">
          <w:marLeft w:val="0"/>
          <w:marRight w:val="0"/>
          <w:marTop w:val="0"/>
          <w:marBottom w:val="0"/>
          <w:divBdr>
            <w:top w:val="none" w:sz="0" w:space="0" w:color="auto"/>
            <w:left w:val="none" w:sz="0" w:space="0" w:color="auto"/>
            <w:bottom w:val="none" w:sz="0" w:space="0" w:color="auto"/>
            <w:right w:val="none" w:sz="0" w:space="0" w:color="auto"/>
          </w:divBdr>
        </w:div>
        <w:div w:id="1279601676">
          <w:marLeft w:val="0"/>
          <w:marRight w:val="0"/>
          <w:marTop w:val="0"/>
          <w:marBottom w:val="0"/>
          <w:divBdr>
            <w:top w:val="none" w:sz="0" w:space="0" w:color="auto"/>
            <w:left w:val="none" w:sz="0" w:space="0" w:color="auto"/>
            <w:bottom w:val="none" w:sz="0" w:space="0" w:color="auto"/>
            <w:right w:val="none" w:sz="0" w:space="0" w:color="auto"/>
          </w:divBdr>
        </w:div>
        <w:div w:id="1319191983">
          <w:marLeft w:val="0"/>
          <w:marRight w:val="0"/>
          <w:marTop w:val="0"/>
          <w:marBottom w:val="0"/>
          <w:divBdr>
            <w:top w:val="none" w:sz="0" w:space="0" w:color="auto"/>
            <w:left w:val="none" w:sz="0" w:space="0" w:color="auto"/>
            <w:bottom w:val="none" w:sz="0" w:space="0" w:color="auto"/>
            <w:right w:val="none" w:sz="0" w:space="0" w:color="auto"/>
          </w:divBdr>
        </w:div>
        <w:div w:id="1578631351">
          <w:marLeft w:val="0"/>
          <w:marRight w:val="0"/>
          <w:marTop w:val="0"/>
          <w:marBottom w:val="0"/>
          <w:divBdr>
            <w:top w:val="none" w:sz="0" w:space="0" w:color="auto"/>
            <w:left w:val="none" w:sz="0" w:space="0" w:color="auto"/>
            <w:bottom w:val="none" w:sz="0" w:space="0" w:color="auto"/>
            <w:right w:val="none" w:sz="0" w:space="0" w:color="auto"/>
          </w:divBdr>
        </w:div>
        <w:div w:id="1681542232">
          <w:marLeft w:val="0"/>
          <w:marRight w:val="0"/>
          <w:marTop w:val="0"/>
          <w:marBottom w:val="0"/>
          <w:divBdr>
            <w:top w:val="none" w:sz="0" w:space="0" w:color="auto"/>
            <w:left w:val="none" w:sz="0" w:space="0" w:color="auto"/>
            <w:bottom w:val="none" w:sz="0" w:space="0" w:color="auto"/>
            <w:right w:val="none" w:sz="0" w:space="0" w:color="auto"/>
          </w:divBdr>
        </w:div>
        <w:div w:id="1860044314">
          <w:marLeft w:val="0"/>
          <w:marRight w:val="0"/>
          <w:marTop w:val="0"/>
          <w:marBottom w:val="0"/>
          <w:divBdr>
            <w:top w:val="none" w:sz="0" w:space="0" w:color="auto"/>
            <w:left w:val="none" w:sz="0" w:space="0" w:color="auto"/>
            <w:bottom w:val="none" w:sz="0" w:space="0" w:color="auto"/>
            <w:right w:val="none" w:sz="0" w:space="0" w:color="auto"/>
          </w:divBdr>
        </w:div>
        <w:div w:id="1874923108">
          <w:marLeft w:val="0"/>
          <w:marRight w:val="0"/>
          <w:marTop w:val="0"/>
          <w:marBottom w:val="0"/>
          <w:divBdr>
            <w:top w:val="none" w:sz="0" w:space="0" w:color="auto"/>
            <w:left w:val="none" w:sz="0" w:space="0" w:color="auto"/>
            <w:bottom w:val="none" w:sz="0" w:space="0" w:color="auto"/>
            <w:right w:val="none" w:sz="0" w:space="0" w:color="auto"/>
          </w:divBdr>
        </w:div>
        <w:div w:id="2101946779">
          <w:marLeft w:val="0"/>
          <w:marRight w:val="0"/>
          <w:marTop w:val="0"/>
          <w:marBottom w:val="0"/>
          <w:divBdr>
            <w:top w:val="none" w:sz="0" w:space="0" w:color="auto"/>
            <w:left w:val="none" w:sz="0" w:space="0" w:color="auto"/>
            <w:bottom w:val="none" w:sz="0" w:space="0" w:color="auto"/>
            <w:right w:val="none" w:sz="0" w:space="0" w:color="auto"/>
          </w:divBdr>
        </w:div>
      </w:divsChild>
    </w:div>
    <w:div w:id="827405350">
      <w:bodyDiv w:val="1"/>
      <w:marLeft w:val="0"/>
      <w:marRight w:val="0"/>
      <w:marTop w:val="0"/>
      <w:marBottom w:val="0"/>
      <w:divBdr>
        <w:top w:val="none" w:sz="0" w:space="0" w:color="auto"/>
        <w:left w:val="none" w:sz="0" w:space="0" w:color="auto"/>
        <w:bottom w:val="none" w:sz="0" w:space="0" w:color="auto"/>
        <w:right w:val="none" w:sz="0" w:space="0" w:color="auto"/>
      </w:divBdr>
    </w:div>
    <w:div w:id="904923318">
      <w:bodyDiv w:val="1"/>
      <w:marLeft w:val="0"/>
      <w:marRight w:val="0"/>
      <w:marTop w:val="0"/>
      <w:marBottom w:val="0"/>
      <w:divBdr>
        <w:top w:val="none" w:sz="0" w:space="0" w:color="auto"/>
        <w:left w:val="none" w:sz="0" w:space="0" w:color="auto"/>
        <w:bottom w:val="none" w:sz="0" w:space="0" w:color="auto"/>
        <w:right w:val="none" w:sz="0" w:space="0" w:color="auto"/>
      </w:divBdr>
      <w:divsChild>
        <w:div w:id="1973471">
          <w:marLeft w:val="0"/>
          <w:marRight w:val="0"/>
          <w:marTop w:val="0"/>
          <w:marBottom w:val="0"/>
          <w:divBdr>
            <w:top w:val="none" w:sz="0" w:space="0" w:color="auto"/>
            <w:left w:val="none" w:sz="0" w:space="0" w:color="auto"/>
            <w:bottom w:val="none" w:sz="0" w:space="0" w:color="auto"/>
            <w:right w:val="none" w:sz="0" w:space="0" w:color="auto"/>
          </w:divBdr>
        </w:div>
        <w:div w:id="322900271">
          <w:marLeft w:val="0"/>
          <w:marRight w:val="0"/>
          <w:marTop w:val="0"/>
          <w:marBottom w:val="0"/>
          <w:divBdr>
            <w:top w:val="none" w:sz="0" w:space="0" w:color="auto"/>
            <w:left w:val="none" w:sz="0" w:space="0" w:color="auto"/>
            <w:bottom w:val="none" w:sz="0" w:space="0" w:color="auto"/>
            <w:right w:val="none" w:sz="0" w:space="0" w:color="auto"/>
          </w:divBdr>
        </w:div>
        <w:div w:id="939487122">
          <w:marLeft w:val="0"/>
          <w:marRight w:val="0"/>
          <w:marTop w:val="0"/>
          <w:marBottom w:val="0"/>
          <w:divBdr>
            <w:top w:val="none" w:sz="0" w:space="0" w:color="auto"/>
            <w:left w:val="none" w:sz="0" w:space="0" w:color="auto"/>
            <w:bottom w:val="none" w:sz="0" w:space="0" w:color="auto"/>
            <w:right w:val="none" w:sz="0" w:space="0" w:color="auto"/>
          </w:divBdr>
        </w:div>
        <w:div w:id="1427312160">
          <w:marLeft w:val="0"/>
          <w:marRight w:val="0"/>
          <w:marTop w:val="0"/>
          <w:marBottom w:val="0"/>
          <w:divBdr>
            <w:top w:val="none" w:sz="0" w:space="0" w:color="auto"/>
            <w:left w:val="none" w:sz="0" w:space="0" w:color="auto"/>
            <w:bottom w:val="none" w:sz="0" w:space="0" w:color="auto"/>
            <w:right w:val="none" w:sz="0" w:space="0" w:color="auto"/>
          </w:divBdr>
        </w:div>
        <w:div w:id="1609043684">
          <w:marLeft w:val="0"/>
          <w:marRight w:val="0"/>
          <w:marTop w:val="0"/>
          <w:marBottom w:val="0"/>
          <w:divBdr>
            <w:top w:val="none" w:sz="0" w:space="0" w:color="auto"/>
            <w:left w:val="none" w:sz="0" w:space="0" w:color="auto"/>
            <w:bottom w:val="none" w:sz="0" w:space="0" w:color="auto"/>
            <w:right w:val="none" w:sz="0" w:space="0" w:color="auto"/>
          </w:divBdr>
        </w:div>
        <w:div w:id="1673095843">
          <w:marLeft w:val="0"/>
          <w:marRight w:val="0"/>
          <w:marTop w:val="0"/>
          <w:marBottom w:val="0"/>
          <w:divBdr>
            <w:top w:val="none" w:sz="0" w:space="0" w:color="auto"/>
            <w:left w:val="none" w:sz="0" w:space="0" w:color="auto"/>
            <w:bottom w:val="none" w:sz="0" w:space="0" w:color="auto"/>
            <w:right w:val="none" w:sz="0" w:space="0" w:color="auto"/>
          </w:divBdr>
        </w:div>
        <w:div w:id="1925064587">
          <w:marLeft w:val="0"/>
          <w:marRight w:val="0"/>
          <w:marTop w:val="0"/>
          <w:marBottom w:val="0"/>
          <w:divBdr>
            <w:top w:val="none" w:sz="0" w:space="0" w:color="auto"/>
            <w:left w:val="none" w:sz="0" w:space="0" w:color="auto"/>
            <w:bottom w:val="none" w:sz="0" w:space="0" w:color="auto"/>
            <w:right w:val="none" w:sz="0" w:space="0" w:color="auto"/>
          </w:divBdr>
        </w:div>
      </w:divsChild>
    </w:div>
    <w:div w:id="1068964946">
      <w:bodyDiv w:val="1"/>
      <w:marLeft w:val="0"/>
      <w:marRight w:val="0"/>
      <w:marTop w:val="0"/>
      <w:marBottom w:val="0"/>
      <w:divBdr>
        <w:top w:val="none" w:sz="0" w:space="0" w:color="auto"/>
        <w:left w:val="none" w:sz="0" w:space="0" w:color="auto"/>
        <w:bottom w:val="none" w:sz="0" w:space="0" w:color="auto"/>
        <w:right w:val="none" w:sz="0" w:space="0" w:color="auto"/>
      </w:divBdr>
    </w:div>
    <w:div w:id="1244803221">
      <w:bodyDiv w:val="1"/>
      <w:marLeft w:val="0"/>
      <w:marRight w:val="0"/>
      <w:marTop w:val="0"/>
      <w:marBottom w:val="0"/>
      <w:divBdr>
        <w:top w:val="none" w:sz="0" w:space="0" w:color="auto"/>
        <w:left w:val="none" w:sz="0" w:space="0" w:color="auto"/>
        <w:bottom w:val="none" w:sz="0" w:space="0" w:color="auto"/>
        <w:right w:val="none" w:sz="0" w:space="0" w:color="auto"/>
      </w:divBdr>
      <w:divsChild>
        <w:div w:id="97913488">
          <w:marLeft w:val="0"/>
          <w:marRight w:val="0"/>
          <w:marTop w:val="0"/>
          <w:marBottom w:val="0"/>
          <w:divBdr>
            <w:top w:val="none" w:sz="0" w:space="0" w:color="auto"/>
            <w:left w:val="none" w:sz="0" w:space="0" w:color="auto"/>
            <w:bottom w:val="none" w:sz="0" w:space="0" w:color="auto"/>
            <w:right w:val="none" w:sz="0" w:space="0" w:color="auto"/>
          </w:divBdr>
        </w:div>
        <w:div w:id="931857920">
          <w:marLeft w:val="0"/>
          <w:marRight w:val="0"/>
          <w:marTop w:val="30"/>
          <w:marBottom w:val="30"/>
          <w:divBdr>
            <w:top w:val="none" w:sz="0" w:space="0" w:color="auto"/>
            <w:left w:val="none" w:sz="0" w:space="0" w:color="auto"/>
            <w:bottom w:val="none" w:sz="0" w:space="0" w:color="auto"/>
            <w:right w:val="none" w:sz="0" w:space="0" w:color="auto"/>
          </w:divBdr>
          <w:divsChild>
            <w:div w:id="18506811">
              <w:marLeft w:val="0"/>
              <w:marRight w:val="0"/>
              <w:marTop w:val="0"/>
              <w:marBottom w:val="0"/>
              <w:divBdr>
                <w:top w:val="none" w:sz="0" w:space="0" w:color="auto"/>
                <w:left w:val="none" w:sz="0" w:space="0" w:color="auto"/>
                <w:bottom w:val="none" w:sz="0" w:space="0" w:color="auto"/>
                <w:right w:val="none" w:sz="0" w:space="0" w:color="auto"/>
              </w:divBdr>
              <w:divsChild>
                <w:div w:id="1199855972">
                  <w:marLeft w:val="0"/>
                  <w:marRight w:val="0"/>
                  <w:marTop w:val="0"/>
                  <w:marBottom w:val="0"/>
                  <w:divBdr>
                    <w:top w:val="none" w:sz="0" w:space="0" w:color="auto"/>
                    <w:left w:val="none" w:sz="0" w:space="0" w:color="auto"/>
                    <w:bottom w:val="none" w:sz="0" w:space="0" w:color="auto"/>
                    <w:right w:val="none" w:sz="0" w:space="0" w:color="auto"/>
                  </w:divBdr>
                </w:div>
              </w:divsChild>
            </w:div>
            <w:div w:id="64450611">
              <w:marLeft w:val="0"/>
              <w:marRight w:val="0"/>
              <w:marTop w:val="0"/>
              <w:marBottom w:val="0"/>
              <w:divBdr>
                <w:top w:val="none" w:sz="0" w:space="0" w:color="auto"/>
                <w:left w:val="none" w:sz="0" w:space="0" w:color="auto"/>
                <w:bottom w:val="none" w:sz="0" w:space="0" w:color="auto"/>
                <w:right w:val="none" w:sz="0" w:space="0" w:color="auto"/>
              </w:divBdr>
              <w:divsChild>
                <w:div w:id="993801430">
                  <w:marLeft w:val="0"/>
                  <w:marRight w:val="0"/>
                  <w:marTop w:val="0"/>
                  <w:marBottom w:val="0"/>
                  <w:divBdr>
                    <w:top w:val="none" w:sz="0" w:space="0" w:color="auto"/>
                    <w:left w:val="none" w:sz="0" w:space="0" w:color="auto"/>
                    <w:bottom w:val="none" w:sz="0" w:space="0" w:color="auto"/>
                    <w:right w:val="none" w:sz="0" w:space="0" w:color="auto"/>
                  </w:divBdr>
                </w:div>
              </w:divsChild>
            </w:div>
            <w:div w:id="207762969">
              <w:marLeft w:val="0"/>
              <w:marRight w:val="0"/>
              <w:marTop w:val="0"/>
              <w:marBottom w:val="0"/>
              <w:divBdr>
                <w:top w:val="none" w:sz="0" w:space="0" w:color="auto"/>
                <w:left w:val="none" w:sz="0" w:space="0" w:color="auto"/>
                <w:bottom w:val="none" w:sz="0" w:space="0" w:color="auto"/>
                <w:right w:val="none" w:sz="0" w:space="0" w:color="auto"/>
              </w:divBdr>
              <w:divsChild>
                <w:div w:id="121192811">
                  <w:marLeft w:val="0"/>
                  <w:marRight w:val="0"/>
                  <w:marTop w:val="0"/>
                  <w:marBottom w:val="0"/>
                  <w:divBdr>
                    <w:top w:val="none" w:sz="0" w:space="0" w:color="auto"/>
                    <w:left w:val="none" w:sz="0" w:space="0" w:color="auto"/>
                    <w:bottom w:val="none" w:sz="0" w:space="0" w:color="auto"/>
                    <w:right w:val="none" w:sz="0" w:space="0" w:color="auto"/>
                  </w:divBdr>
                </w:div>
                <w:div w:id="1114440845">
                  <w:marLeft w:val="0"/>
                  <w:marRight w:val="0"/>
                  <w:marTop w:val="0"/>
                  <w:marBottom w:val="0"/>
                  <w:divBdr>
                    <w:top w:val="none" w:sz="0" w:space="0" w:color="auto"/>
                    <w:left w:val="none" w:sz="0" w:space="0" w:color="auto"/>
                    <w:bottom w:val="none" w:sz="0" w:space="0" w:color="auto"/>
                    <w:right w:val="none" w:sz="0" w:space="0" w:color="auto"/>
                  </w:divBdr>
                </w:div>
              </w:divsChild>
            </w:div>
            <w:div w:id="371074724">
              <w:marLeft w:val="0"/>
              <w:marRight w:val="0"/>
              <w:marTop w:val="0"/>
              <w:marBottom w:val="0"/>
              <w:divBdr>
                <w:top w:val="none" w:sz="0" w:space="0" w:color="auto"/>
                <w:left w:val="none" w:sz="0" w:space="0" w:color="auto"/>
                <w:bottom w:val="none" w:sz="0" w:space="0" w:color="auto"/>
                <w:right w:val="none" w:sz="0" w:space="0" w:color="auto"/>
              </w:divBdr>
              <w:divsChild>
                <w:div w:id="1341659789">
                  <w:marLeft w:val="0"/>
                  <w:marRight w:val="0"/>
                  <w:marTop w:val="0"/>
                  <w:marBottom w:val="0"/>
                  <w:divBdr>
                    <w:top w:val="none" w:sz="0" w:space="0" w:color="auto"/>
                    <w:left w:val="none" w:sz="0" w:space="0" w:color="auto"/>
                    <w:bottom w:val="none" w:sz="0" w:space="0" w:color="auto"/>
                    <w:right w:val="none" w:sz="0" w:space="0" w:color="auto"/>
                  </w:divBdr>
                </w:div>
              </w:divsChild>
            </w:div>
            <w:div w:id="486283132">
              <w:marLeft w:val="0"/>
              <w:marRight w:val="0"/>
              <w:marTop w:val="0"/>
              <w:marBottom w:val="0"/>
              <w:divBdr>
                <w:top w:val="none" w:sz="0" w:space="0" w:color="auto"/>
                <w:left w:val="none" w:sz="0" w:space="0" w:color="auto"/>
                <w:bottom w:val="none" w:sz="0" w:space="0" w:color="auto"/>
                <w:right w:val="none" w:sz="0" w:space="0" w:color="auto"/>
              </w:divBdr>
              <w:divsChild>
                <w:div w:id="26495515">
                  <w:marLeft w:val="0"/>
                  <w:marRight w:val="0"/>
                  <w:marTop w:val="0"/>
                  <w:marBottom w:val="0"/>
                  <w:divBdr>
                    <w:top w:val="none" w:sz="0" w:space="0" w:color="auto"/>
                    <w:left w:val="none" w:sz="0" w:space="0" w:color="auto"/>
                    <w:bottom w:val="none" w:sz="0" w:space="0" w:color="auto"/>
                    <w:right w:val="none" w:sz="0" w:space="0" w:color="auto"/>
                  </w:divBdr>
                </w:div>
              </w:divsChild>
            </w:div>
            <w:div w:id="560209634">
              <w:marLeft w:val="0"/>
              <w:marRight w:val="0"/>
              <w:marTop w:val="0"/>
              <w:marBottom w:val="0"/>
              <w:divBdr>
                <w:top w:val="none" w:sz="0" w:space="0" w:color="auto"/>
                <w:left w:val="none" w:sz="0" w:space="0" w:color="auto"/>
                <w:bottom w:val="none" w:sz="0" w:space="0" w:color="auto"/>
                <w:right w:val="none" w:sz="0" w:space="0" w:color="auto"/>
              </w:divBdr>
              <w:divsChild>
                <w:div w:id="1282103073">
                  <w:marLeft w:val="0"/>
                  <w:marRight w:val="0"/>
                  <w:marTop w:val="0"/>
                  <w:marBottom w:val="0"/>
                  <w:divBdr>
                    <w:top w:val="none" w:sz="0" w:space="0" w:color="auto"/>
                    <w:left w:val="none" w:sz="0" w:space="0" w:color="auto"/>
                    <w:bottom w:val="none" w:sz="0" w:space="0" w:color="auto"/>
                    <w:right w:val="none" w:sz="0" w:space="0" w:color="auto"/>
                  </w:divBdr>
                </w:div>
              </w:divsChild>
            </w:div>
            <w:div w:id="796948108">
              <w:marLeft w:val="0"/>
              <w:marRight w:val="0"/>
              <w:marTop w:val="0"/>
              <w:marBottom w:val="0"/>
              <w:divBdr>
                <w:top w:val="none" w:sz="0" w:space="0" w:color="auto"/>
                <w:left w:val="none" w:sz="0" w:space="0" w:color="auto"/>
                <w:bottom w:val="none" w:sz="0" w:space="0" w:color="auto"/>
                <w:right w:val="none" w:sz="0" w:space="0" w:color="auto"/>
              </w:divBdr>
              <w:divsChild>
                <w:div w:id="416947517">
                  <w:marLeft w:val="0"/>
                  <w:marRight w:val="0"/>
                  <w:marTop w:val="0"/>
                  <w:marBottom w:val="0"/>
                  <w:divBdr>
                    <w:top w:val="none" w:sz="0" w:space="0" w:color="auto"/>
                    <w:left w:val="none" w:sz="0" w:space="0" w:color="auto"/>
                    <w:bottom w:val="none" w:sz="0" w:space="0" w:color="auto"/>
                    <w:right w:val="none" w:sz="0" w:space="0" w:color="auto"/>
                  </w:divBdr>
                </w:div>
              </w:divsChild>
            </w:div>
            <w:div w:id="964577135">
              <w:marLeft w:val="0"/>
              <w:marRight w:val="0"/>
              <w:marTop w:val="0"/>
              <w:marBottom w:val="0"/>
              <w:divBdr>
                <w:top w:val="none" w:sz="0" w:space="0" w:color="auto"/>
                <w:left w:val="none" w:sz="0" w:space="0" w:color="auto"/>
                <w:bottom w:val="none" w:sz="0" w:space="0" w:color="auto"/>
                <w:right w:val="none" w:sz="0" w:space="0" w:color="auto"/>
              </w:divBdr>
              <w:divsChild>
                <w:div w:id="1095981451">
                  <w:marLeft w:val="0"/>
                  <w:marRight w:val="0"/>
                  <w:marTop w:val="0"/>
                  <w:marBottom w:val="0"/>
                  <w:divBdr>
                    <w:top w:val="none" w:sz="0" w:space="0" w:color="auto"/>
                    <w:left w:val="none" w:sz="0" w:space="0" w:color="auto"/>
                    <w:bottom w:val="none" w:sz="0" w:space="0" w:color="auto"/>
                    <w:right w:val="none" w:sz="0" w:space="0" w:color="auto"/>
                  </w:divBdr>
                </w:div>
              </w:divsChild>
            </w:div>
            <w:div w:id="989097670">
              <w:marLeft w:val="0"/>
              <w:marRight w:val="0"/>
              <w:marTop w:val="0"/>
              <w:marBottom w:val="0"/>
              <w:divBdr>
                <w:top w:val="none" w:sz="0" w:space="0" w:color="auto"/>
                <w:left w:val="none" w:sz="0" w:space="0" w:color="auto"/>
                <w:bottom w:val="none" w:sz="0" w:space="0" w:color="auto"/>
                <w:right w:val="none" w:sz="0" w:space="0" w:color="auto"/>
              </w:divBdr>
              <w:divsChild>
                <w:div w:id="257060873">
                  <w:marLeft w:val="0"/>
                  <w:marRight w:val="0"/>
                  <w:marTop w:val="0"/>
                  <w:marBottom w:val="0"/>
                  <w:divBdr>
                    <w:top w:val="none" w:sz="0" w:space="0" w:color="auto"/>
                    <w:left w:val="none" w:sz="0" w:space="0" w:color="auto"/>
                    <w:bottom w:val="none" w:sz="0" w:space="0" w:color="auto"/>
                    <w:right w:val="none" w:sz="0" w:space="0" w:color="auto"/>
                  </w:divBdr>
                </w:div>
              </w:divsChild>
            </w:div>
            <w:div w:id="1266815467">
              <w:marLeft w:val="0"/>
              <w:marRight w:val="0"/>
              <w:marTop w:val="0"/>
              <w:marBottom w:val="0"/>
              <w:divBdr>
                <w:top w:val="none" w:sz="0" w:space="0" w:color="auto"/>
                <w:left w:val="none" w:sz="0" w:space="0" w:color="auto"/>
                <w:bottom w:val="none" w:sz="0" w:space="0" w:color="auto"/>
                <w:right w:val="none" w:sz="0" w:space="0" w:color="auto"/>
              </w:divBdr>
              <w:divsChild>
                <w:div w:id="21132208">
                  <w:marLeft w:val="0"/>
                  <w:marRight w:val="0"/>
                  <w:marTop w:val="0"/>
                  <w:marBottom w:val="0"/>
                  <w:divBdr>
                    <w:top w:val="none" w:sz="0" w:space="0" w:color="auto"/>
                    <w:left w:val="none" w:sz="0" w:space="0" w:color="auto"/>
                    <w:bottom w:val="none" w:sz="0" w:space="0" w:color="auto"/>
                    <w:right w:val="none" w:sz="0" w:space="0" w:color="auto"/>
                  </w:divBdr>
                </w:div>
              </w:divsChild>
            </w:div>
            <w:div w:id="1284313524">
              <w:marLeft w:val="0"/>
              <w:marRight w:val="0"/>
              <w:marTop w:val="0"/>
              <w:marBottom w:val="0"/>
              <w:divBdr>
                <w:top w:val="none" w:sz="0" w:space="0" w:color="auto"/>
                <w:left w:val="none" w:sz="0" w:space="0" w:color="auto"/>
                <w:bottom w:val="none" w:sz="0" w:space="0" w:color="auto"/>
                <w:right w:val="none" w:sz="0" w:space="0" w:color="auto"/>
              </w:divBdr>
              <w:divsChild>
                <w:div w:id="25104444">
                  <w:marLeft w:val="0"/>
                  <w:marRight w:val="0"/>
                  <w:marTop w:val="0"/>
                  <w:marBottom w:val="0"/>
                  <w:divBdr>
                    <w:top w:val="none" w:sz="0" w:space="0" w:color="auto"/>
                    <w:left w:val="none" w:sz="0" w:space="0" w:color="auto"/>
                    <w:bottom w:val="none" w:sz="0" w:space="0" w:color="auto"/>
                    <w:right w:val="none" w:sz="0" w:space="0" w:color="auto"/>
                  </w:divBdr>
                </w:div>
              </w:divsChild>
            </w:div>
            <w:div w:id="1286155219">
              <w:marLeft w:val="0"/>
              <w:marRight w:val="0"/>
              <w:marTop w:val="0"/>
              <w:marBottom w:val="0"/>
              <w:divBdr>
                <w:top w:val="none" w:sz="0" w:space="0" w:color="auto"/>
                <w:left w:val="none" w:sz="0" w:space="0" w:color="auto"/>
                <w:bottom w:val="none" w:sz="0" w:space="0" w:color="auto"/>
                <w:right w:val="none" w:sz="0" w:space="0" w:color="auto"/>
              </w:divBdr>
              <w:divsChild>
                <w:div w:id="1125390666">
                  <w:marLeft w:val="0"/>
                  <w:marRight w:val="0"/>
                  <w:marTop w:val="0"/>
                  <w:marBottom w:val="0"/>
                  <w:divBdr>
                    <w:top w:val="none" w:sz="0" w:space="0" w:color="auto"/>
                    <w:left w:val="none" w:sz="0" w:space="0" w:color="auto"/>
                    <w:bottom w:val="none" w:sz="0" w:space="0" w:color="auto"/>
                    <w:right w:val="none" w:sz="0" w:space="0" w:color="auto"/>
                  </w:divBdr>
                </w:div>
              </w:divsChild>
            </w:div>
            <w:div w:id="1577401927">
              <w:marLeft w:val="0"/>
              <w:marRight w:val="0"/>
              <w:marTop w:val="0"/>
              <w:marBottom w:val="0"/>
              <w:divBdr>
                <w:top w:val="none" w:sz="0" w:space="0" w:color="auto"/>
                <w:left w:val="none" w:sz="0" w:space="0" w:color="auto"/>
                <w:bottom w:val="none" w:sz="0" w:space="0" w:color="auto"/>
                <w:right w:val="none" w:sz="0" w:space="0" w:color="auto"/>
              </w:divBdr>
              <w:divsChild>
                <w:div w:id="708992647">
                  <w:marLeft w:val="0"/>
                  <w:marRight w:val="0"/>
                  <w:marTop w:val="0"/>
                  <w:marBottom w:val="0"/>
                  <w:divBdr>
                    <w:top w:val="none" w:sz="0" w:space="0" w:color="auto"/>
                    <w:left w:val="none" w:sz="0" w:space="0" w:color="auto"/>
                    <w:bottom w:val="none" w:sz="0" w:space="0" w:color="auto"/>
                    <w:right w:val="none" w:sz="0" w:space="0" w:color="auto"/>
                  </w:divBdr>
                </w:div>
                <w:div w:id="1514346423">
                  <w:marLeft w:val="0"/>
                  <w:marRight w:val="0"/>
                  <w:marTop w:val="0"/>
                  <w:marBottom w:val="0"/>
                  <w:divBdr>
                    <w:top w:val="none" w:sz="0" w:space="0" w:color="auto"/>
                    <w:left w:val="none" w:sz="0" w:space="0" w:color="auto"/>
                    <w:bottom w:val="none" w:sz="0" w:space="0" w:color="auto"/>
                    <w:right w:val="none" w:sz="0" w:space="0" w:color="auto"/>
                  </w:divBdr>
                </w:div>
                <w:div w:id="2093315119">
                  <w:marLeft w:val="0"/>
                  <w:marRight w:val="0"/>
                  <w:marTop w:val="0"/>
                  <w:marBottom w:val="0"/>
                  <w:divBdr>
                    <w:top w:val="none" w:sz="0" w:space="0" w:color="auto"/>
                    <w:left w:val="none" w:sz="0" w:space="0" w:color="auto"/>
                    <w:bottom w:val="none" w:sz="0" w:space="0" w:color="auto"/>
                    <w:right w:val="none" w:sz="0" w:space="0" w:color="auto"/>
                  </w:divBdr>
                </w:div>
              </w:divsChild>
            </w:div>
            <w:div w:id="1604455632">
              <w:marLeft w:val="0"/>
              <w:marRight w:val="0"/>
              <w:marTop w:val="0"/>
              <w:marBottom w:val="0"/>
              <w:divBdr>
                <w:top w:val="none" w:sz="0" w:space="0" w:color="auto"/>
                <w:left w:val="none" w:sz="0" w:space="0" w:color="auto"/>
                <w:bottom w:val="none" w:sz="0" w:space="0" w:color="auto"/>
                <w:right w:val="none" w:sz="0" w:space="0" w:color="auto"/>
              </w:divBdr>
              <w:divsChild>
                <w:div w:id="186213582">
                  <w:marLeft w:val="0"/>
                  <w:marRight w:val="0"/>
                  <w:marTop w:val="0"/>
                  <w:marBottom w:val="0"/>
                  <w:divBdr>
                    <w:top w:val="none" w:sz="0" w:space="0" w:color="auto"/>
                    <w:left w:val="none" w:sz="0" w:space="0" w:color="auto"/>
                    <w:bottom w:val="none" w:sz="0" w:space="0" w:color="auto"/>
                    <w:right w:val="none" w:sz="0" w:space="0" w:color="auto"/>
                  </w:divBdr>
                </w:div>
              </w:divsChild>
            </w:div>
            <w:div w:id="1803184566">
              <w:marLeft w:val="0"/>
              <w:marRight w:val="0"/>
              <w:marTop w:val="0"/>
              <w:marBottom w:val="0"/>
              <w:divBdr>
                <w:top w:val="none" w:sz="0" w:space="0" w:color="auto"/>
                <w:left w:val="none" w:sz="0" w:space="0" w:color="auto"/>
                <w:bottom w:val="none" w:sz="0" w:space="0" w:color="auto"/>
                <w:right w:val="none" w:sz="0" w:space="0" w:color="auto"/>
              </w:divBdr>
              <w:divsChild>
                <w:div w:id="1808740715">
                  <w:marLeft w:val="0"/>
                  <w:marRight w:val="0"/>
                  <w:marTop w:val="0"/>
                  <w:marBottom w:val="0"/>
                  <w:divBdr>
                    <w:top w:val="none" w:sz="0" w:space="0" w:color="auto"/>
                    <w:left w:val="none" w:sz="0" w:space="0" w:color="auto"/>
                    <w:bottom w:val="none" w:sz="0" w:space="0" w:color="auto"/>
                    <w:right w:val="none" w:sz="0" w:space="0" w:color="auto"/>
                  </w:divBdr>
                </w:div>
              </w:divsChild>
            </w:div>
            <w:div w:id="1990355956">
              <w:marLeft w:val="0"/>
              <w:marRight w:val="0"/>
              <w:marTop w:val="0"/>
              <w:marBottom w:val="0"/>
              <w:divBdr>
                <w:top w:val="none" w:sz="0" w:space="0" w:color="auto"/>
                <w:left w:val="none" w:sz="0" w:space="0" w:color="auto"/>
                <w:bottom w:val="none" w:sz="0" w:space="0" w:color="auto"/>
                <w:right w:val="none" w:sz="0" w:space="0" w:color="auto"/>
              </w:divBdr>
              <w:divsChild>
                <w:div w:id="1693144290">
                  <w:marLeft w:val="0"/>
                  <w:marRight w:val="0"/>
                  <w:marTop w:val="0"/>
                  <w:marBottom w:val="0"/>
                  <w:divBdr>
                    <w:top w:val="none" w:sz="0" w:space="0" w:color="auto"/>
                    <w:left w:val="none" w:sz="0" w:space="0" w:color="auto"/>
                    <w:bottom w:val="none" w:sz="0" w:space="0" w:color="auto"/>
                    <w:right w:val="none" w:sz="0" w:space="0" w:color="auto"/>
                  </w:divBdr>
                </w:div>
                <w:div w:id="2060472672">
                  <w:marLeft w:val="0"/>
                  <w:marRight w:val="0"/>
                  <w:marTop w:val="0"/>
                  <w:marBottom w:val="0"/>
                  <w:divBdr>
                    <w:top w:val="none" w:sz="0" w:space="0" w:color="auto"/>
                    <w:left w:val="none" w:sz="0" w:space="0" w:color="auto"/>
                    <w:bottom w:val="none" w:sz="0" w:space="0" w:color="auto"/>
                    <w:right w:val="none" w:sz="0" w:space="0" w:color="auto"/>
                  </w:divBdr>
                </w:div>
              </w:divsChild>
            </w:div>
            <w:div w:id="2068870541">
              <w:marLeft w:val="0"/>
              <w:marRight w:val="0"/>
              <w:marTop w:val="0"/>
              <w:marBottom w:val="0"/>
              <w:divBdr>
                <w:top w:val="none" w:sz="0" w:space="0" w:color="auto"/>
                <w:left w:val="none" w:sz="0" w:space="0" w:color="auto"/>
                <w:bottom w:val="none" w:sz="0" w:space="0" w:color="auto"/>
                <w:right w:val="none" w:sz="0" w:space="0" w:color="auto"/>
              </w:divBdr>
              <w:divsChild>
                <w:div w:id="37898338">
                  <w:marLeft w:val="0"/>
                  <w:marRight w:val="0"/>
                  <w:marTop w:val="0"/>
                  <w:marBottom w:val="0"/>
                  <w:divBdr>
                    <w:top w:val="none" w:sz="0" w:space="0" w:color="auto"/>
                    <w:left w:val="none" w:sz="0" w:space="0" w:color="auto"/>
                    <w:bottom w:val="none" w:sz="0" w:space="0" w:color="auto"/>
                    <w:right w:val="none" w:sz="0" w:space="0" w:color="auto"/>
                  </w:divBdr>
                </w:div>
              </w:divsChild>
            </w:div>
            <w:div w:id="2124038120">
              <w:marLeft w:val="0"/>
              <w:marRight w:val="0"/>
              <w:marTop w:val="0"/>
              <w:marBottom w:val="0"/>
              <w:divBdr>
                <w:top w:val="none" w:sz="0" w:space="0" w:color="auto"/>
                <w:left w:val="none" w:sz="0" w:space="0" w:color="auto"/>
                <w:bottom w:val="none" w:sz="0" w:space="0" w:color="auto"/>
                <w:right w:val="none" w:sz="0" w:space="0" w:color="auto"/>
              </w:divBdr>
              <w:divsChild>
                <w:div w:id="354355934">
                  <w:marLeft w:val="0"/>
                  <w:marRight w:val="0"/>
                  <w:marTop w:val="0"/>
                  <w:marBottom w:val="0"/>
                  <w:divBdr>
                    <w:top w:val="none" w:sz="0" w:space="0" w:color="auto"/>
                    <w:left w:val="none" w:sz="0" w:space="0" w:color="auto"/>
                    <w:bottom w:val="none" w:sz="0" w:space="0" w:color="auto"/>
                    <w:right w:val="none" w:sz="0" w:space="0" w:color="auto"/>
                  </w:divBdr>
                </w:div>
                <w:div w:id="1980063547">
                  <w:marLeft w:val="0"/>
                  <w:marRight w:val="0"/>
                  <w:marTop w:val="0"/>
                  <w:marBottom w:val="0"/>
                  <w:divBdr>
                    <w:top w:val="none" w:sz="0" w:space="0" w:color="auto"/>
                    <w:left w:val="none" w:sz="0" w:space="0" w:color="auto"/>
                    <w:bottom w:val="none" w:sz="0" w:space="0" w:color="auto"/>
                    <w:right w:val="none" w:sz="0" w:space="0" w:color="auto"/>
                  </w:divBdr>
                </w:div>
              </w:divsChild>
            </w:div>
            <w:div w:id="2127699906">
              <w:marLeft w:val="0"/>
              <w:marRight w:val="0"/>
              <w:marTop w:val="0"/>
              <w:marBottom w:val="0"/>
              <w:divBdr>
                <w:top w:val="none" w:sz="0" w:space="0" w:color="auto"/>
                <w:left w:val="none" w:sz="0" w:space="0" w:color="auto"/>
                <w:bottom w:val="none" w:sz="0" w:space="0" w:color="auto"/>
                <w:right w:val="none" w:sz="0" w:space="0" w:color="auto"/>
              </w:divBdr>
              <w:divsChild>
                <w:div w:id="1080639743">
                  <w:marLeft w:val="0"/>
                  <w:marRight w:val="0"/>
                  <w:marTop w:val="0"/>
                  <w:marBottom w:val="0"/>
                  <w:divBdr>
                    <w:top w:val="none" w:sz="0" w:space="0" w:color="auto"/>
                    <w:left w:val="none" w:sz="0" w:space="0" w:color="auto"/>
                    <w:bottom w:val="none" w:sz="0" w:space="0" w:color="auto"/>
                    <w:right w:val="none" w:sz="0" w:space="0" w:color="auto"/>
                  </w:divBdr>
                </w:div>
              </w:divsChild>
            </w:div>
            <w:div w:id="2137990634">
              <w:marLeft w:val="0"/>
              <w:marRight w:val="0"/>
              <w:marTop w:val="0"/>
              <w:marBottom w:val="0"/>
              <w:divBdr>
                <w:top w:val="none" w:sz="0" w:space="0" w:color="auto"/>
                <w:left w:val="none" w:sz="0" w:space="0" w:color="auto"/>
                <w:bottom w:val="none" w:sz="0" w:space="0" w:color="auto"/>
                <w:right w:val="none" w:sz="0" w:space="0" w:color="auto"/>
              </w:divBdr>
              <w:divsChild>
                <w:div w:id="9749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02862">
      <w:bodyDiv w:val="1"/>
      <w:marLeft w:val="0"/>
      <w:marRight w:val="0"/>
      <w:marTop w:val="0"/>
      <w:marBottom w:val="0"/>
      <w:divBdr>
        <w:top w:val="none" w:sz="0" w:space="0" w:color="auto"/>
        <w:left w:val="none" w:sz="0" w:space="0" w:color="auto"/>
        <w:bottom w:val="none" w:sz="0" w:space="0" w:color="auto"/>
        <w:right w:val="none" w:sz="0" w:space="0" w:color="auto"/>
      </w:divBdr>
    </w:div>
    <w:div w:id="1725520284">
      <w:bodyDiv w:val="1"/>
      <w:marLeft w:val="0"/>
      <w:marRight w:val="0"/>
      <w:marTop w:val="0"/>
      <w:marBottom w:val="0"/>
      <w:divBdr>
        <w:top w:val="none" w:sz="0" w:space="0" w:color="auto"/>
        <w:left w:val="none" w:sz="0" w:space="0" w:color="auto"/>
        <w:bottom w:val="none" w:sz="0" w:space="0" w:color="auto"/>
        <w:right w:val="none" w:sz="0" w:space="0" w:color="auto"/>
      </w:divBdr>
    </w:div>
    <w:div w:id="2035423467">
      <w:bodyDiv w:val="1"/>
      <w:marLeft w:val="0"/>
      <w:marRight w:val="0"/>
      <w:marTop w:val="0"/>
      <w:marBottom w:val="0"/>
      <w:divBdr>
        <w:top w:val="none" w:sz="0" w:space="0" w:color="auto"/>
        <w:left w:val="none" w:sz="0" w:space="0" w:color="auto"/>
        <w:bottom w:val="none" w:sz="0" w:space="0" w:color="auto"/>
        <w:right w:val="none" w:sz="0" w:space="0" w:color="auto"/>
      </w:divBdr>
    </w:div>
    <w:div w:id="2038503421">
      <w:bodyDiv w:val="1"/>
      <w:marLeft w:val="0"/>
      <w:marRight w:val="0"/>
      <w:marTop w:val="0"/>
      <w:marBottom w:val="0"/>
      <w:divBdr>
        <w:top w:val="none" w:sz="0" w:space="0" w:color="auto"/>
        <w:left w:val="none" w:sz="0" w:space="0" w:color="auto"/>
        <w:bottom w:val="none" w:sz="0" w:space="0" w:color="auto"/>
        <w:right w:val="none" w:sz="0" w:space="0" w:color="auto"/>
      </w:divBdr>
    </w:div>
    <w:div w:id="209172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legislation.cnav.fr/Pages/texte.aspx?Nom=LO_CSS_R351-41"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www.amundi-ee.com" TargetMode="External"/><Relationship Id="rId42" Type="http://schemas.openxmlformats.org/officeDocument/2006/relationships/hyperlink" Target="http://www.ancv.com/Les-produits/Le-Cheque-Vacance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vosdroits.service-public.fr/particuliers/F583.xhtml" TargetMode="External"/><Relationship Id="rId20" Type="http://schemas.openxmlformats.org/officeDocument/2006/relationships/image" Target="media/image13.jpg"/><Relationship Id="rId29" Type="http://schemas.openxmlformats.org/officeDocument/2006/relationships/image" Target="media/image19.pn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hyperlink" Target="http://www.elnet.fr/documentation/Document?id=Y5282&amp;nrf=0_ZF9ZNUxTVEVULTF8ZF9ZNTM0My03OSRZNUxTVEVU&amp;FromId=Y5343" TargetMode="External"/><Relationship Id="rId45" Type="http://schemas.openxmlformats.org/officeDocument/2006/relationships/hyperlink" Target="https://alstomgroup.sharepoint.com/sites/TrVPerImprove_Community/VBNPeopleDev/Tutoriels%20Alista/Alista_Employ&#233;_Consulter%20ses%20cong&#233;s.pdf"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alstomgroup.sharepoint.com/sites/TrHRFormationSandbox_Team/Epargne%20Retraite/Transfert%20CET%20au%20PERCO%20%20PERE%20et%20PEG.pdf" TargetMode="External"/><Relationship Id="rId36" Type="http://schemas.openxmlformats.org/officeDocument/2006/relationships/hyperlink" Target="http://www.legislation.cnav.fr/Pages/bareme.aspx?Nom=vplr_cout_par_trimestre_bar" TargetMode="External"/><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hyperlink" Target="https://alstomgroup.sharepoint.com/sites/TrHRFormationSandbox_Team/Epargne%20Retraite/PEG%20PERCO%20Bulletin%20Versement%20Ch&#232;que.pdf" TargetMode="External"/><Relationship Id="rId30" Type="http://schemas.openxmlformats.org/officeDocument/2006/relationships/image" Target="media/image20.png"/><Relationship Id="rId35" Type="http://schemas.openxmlformats.org/officeDocument/2006/relationships/hyperlink" Target="https://www.info-retraite.fr/portail-info/sites/PortailInformationnel/home/mes-droits-a-la-retraite/ma-vie-personnelle-1/etudes/rachat-dannees-detudes.html" TargetMode="External"/><Relationship Id="rId43" Type="http://schemas.openxmlformats.org/officeDocument/2006/relationships/image" Target="media/image28.jpeg"/><Relationship Id="rId48" Type="http://schemas.openxmlformats.org/officeDocument/2006/relationships/image" Target="media/image31.jp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FOPTQ2019</b:Tag>
    <b:SourceType>Book</b:SourceType>
    <b:Guid>{B2A59055-ADF2-4BA1-A4E0-F1C668D31D7F}</b:Guid>
    <b:Title>Guide Social FO PTQ</b:Title>
    <b:Year>2019</b:Year>
    <b:Author>
      <b:Author>
        <b:NameList>
          <b:Person>
            <b:Last>PTQ</b:Last>
            <b:First>FO</b:First>
          </b:Person>
        </b:NameList>
      </b:Author>
    </b:Author>
    <b:City>Petit-Quevilly</b:City>
    <b:RefOrder>1</b:RefOrder>
  </b:Source>
</b:Sources>
</file>

<file path=customXml/itemProps1.xml><?xml version="1.0" encoding="utf-8"?>
<ds:datastoreItem xmlns:ds="http://schemas.openxmlformats.org/officeDocument/2006/customXml" ds:itemID="{7B4A0DB7-F01D-4342-8E61-F726A6CA9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7968</Words>
  <Characters>43828</Characters>
  <Application>Microsoft Office Word</Application>
  <DocSecurity>0</DocSecurity>
  <Lines>365</Lines>
  <Paragraphs>103</Paragraphs>
  <ScaleCrop>false</ScaleCrop>
  <HeadingPairs>
    <vt:vector size="2" baseType="variant">
      <vt:variant>
        <vt:lpstr>Titre</vt:lpstr>
      </vt:variant>
      <vt:variant>
        <vt:i4>1</vt:i4>
      </vt:variant>
    </vt:vector>
  </HeadingPairs>
  <TitlesOfParts>
    <vt:vector size="1" baseType="lpstr">
      <vt:lpstr>Guide</vt:lpstr>
    </vt:vector>
  </TitlesOfParts>
  <Company/>
  <LinksUpToDate>false</LinksUpToDate>
  <CharactersWithSpaces>51693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c:title>
  <dc:subject>Social PTQ</dc:subject>
  <dc:creator>guillaume rolland</dc:creator>
  <cp:keywords/>
  <dc:description/>
  <cp:lastModifiedBy>guillaume rolland</cp:lastModifiedBy>
  <cp:revision>2</cp:revision>
  <dcterms:created xsi:type="dcterms:W3CDTF">2019-04-27T07:39:00Z</dcterms:created>
  <dcterms:modified xsi:type="dcterms:W3CDTF">2019-04-27T07:39:00Z</dcterms:modified>
</cp:coreProperties>
</file>